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A24D56" w:rsidP="006F59E5">
            <w:pPr>
              <w:rPr>
                <w:sz w:val="24"/>
                <w:szCs w:val="28"/>
              </w:rPr>
            </w:pPr>
            <w:r w:rsidRPr="00382001">
              <w:rPr>
                <w:sz w:val="24"/>
                <w:szCs w:val="28"/>
              </w:rPr>
              <w:t>Приложение 1</w:t>
            </w:r>
            <w:r w:rsidR="00DF192D">
              <w:rPr>
                <w:sz w:val="24"/>
                <w:szCs w:val="28"/>
              </w:rPr>
              <w:t>0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DF192D">
        <w:rPr>
          <w:rStyle w:val="fontstyle01"/>
        </w:rPr>
        <w:t>Урыв</w:t>
      </w:r>
      <w:r>
        <w:rPr>
          <w:rStyle w:val="fontstyle01"/>
        </w:rPr>
        <w:t>ский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3D17E0"/>
    <w:rsid w:val="00583311"/>
    <w:rsid w:val="005D63B2"/>
    <w:rsid w:val="006035D6"/>
    <w:rsid w:val="008038CF"/>
    <w:rsid w:val="00A24D56"/>
    <w:rsid w:val="00A35182"/>
    <w:rsid w:val="00B87FBC"/>
    <w:rsid w:val="00B9727D"/>
    <w:rsid w:val="00CF54EE"/>
    <w:rsid w:val="00D11E39"/>
    <w:rsid w:val="00DC04EE"/>
    <w:rsid w:val="00DF192D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2022-03-12T05:10:00Z</dcterms:created>
  <dcterms:modified xsi:type="dcterms:W3CDTF">2022-03-14T03:24:00Z</dcterms:modified>
</cp:coreProperties>
</file>