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Тюменцевского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2024</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p>
        </w:tc>
      </w:tr>
    </w:tbl>
    <w:p w:rsidR="0074511A" w:rsidRPr="00F00C74" w:rsidRDefault="0074511A" w:rsidP="00F00C74">
      <w:pPr>
        <w:jc w:val="center"/>
        <w:divId w:val="223301121"/>
        <w:rPr>
          <w:sz w:val="28"/>
          <w:szCs w:val="28"/>
        </w:rPr>
      </w:pPr>
      <w:r>
        <w:br/>
      </w:r>
      <w:r w:rsidRPr="00F00C74">
        <w:rPr>
          <w:rStyle w:val="a3"/>
          <w:sz w:val="28"/>
          <w:szCs w:val="28"/>
        </w:rPr>
        <w:t>Промышленное производство</w:t>
      </w:r>
    </w:p>
    <w:p w:rsidR="0074511A" w:rsidRPr="00F00C74" w:rsidRDefault="001F1010" w:rsidP="004B40B9">
      <w:pPr>
        <w:ind w:firstLine="709"/>
        <w:jc w:val="both"/>
        <w:divId w:val="223301121"/>
        <w:rPr>
          <w:sz w:val="28"/>
          <w:szCs w:val="28"/>
        </w:rPr>
      </w:pPr>
      <w:r w:rsidRPr="00F00C74">
        <w:rPr>
          <w:sz w:val="28"/>
          <w:szCs w:val="28"/>
        </w:rPr>
        <w:t xml:space="preserve">По итогам 2024 года в Тюменцевском районе наблюдается снижение объемов отгруженной промышленной продукции. В действующих ценах объем отгруженной промышленной продукции (по крупным и средним организациям) составил 322,1 млн. рублей, индекс промышленного производства к соответствующему периоду прошлого года (в сопоставимых ценах) составил 73,4 процента. Снижение произошло в производстве пищевых продуктов:  сыров на 54%, сыворотки на 40,6 %. Причины снижения производство продукции произошло за счёт закрытия двух градообразующих предприятий района ОАО «Тюменцевский маслосырзавод», ТОСП ООО «Кипринский МСЗ» </w:t>
      </w:r>
      <w:proofErr w:type="gramStart"/>
      <w:r w:rsidRPr="00F00C74">
        <w:rPr>
          <w:sz w:val="28"/>
          <w:szCs w:val="28"/>
        </w:rPr>
        <w:t>в</w:t>
      </w:r>
      <w:proofErr w:type="gramEnd"/>
      <w:r w:rsidRPr="00F00C74">
        <w:rPr>
          <w:sz w:val="28"/>
          <w:szCs w:val="28"/>
        </w:rPr>
        <w:t xml:space="preserve"> с. Юдиха. Наибольшие темпы роста производства в 2024 году, в сравнении с показателями 2023 года, достигнуты на предприятиях, осуществляющих выпуск:  муки из зерновых культур,  мяса и субпродуктов, предприятиями ООО "Агро", ООО "Маслопродукт" и ООО «Тюменцевское ХПП».</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F0653D" w:rsidRDefault="00954C8F" w:rsidP="00F0653D">
      <w:pPr>
        <w:ind w:firstLine="709"/>
        <w:jc w:val="both"/>
        <w:divId w:val="1450320109"/>
        <w:rPr>
          <w:sz w:val="28"/>
          <w:szCs w:val="28"/>
        </w:rPr>
      </w:pPr>
      <w:r w:rsidRPr="00F00C74">
        <w:rPr>
          <w:sz w:val="28"/>
          <w:szCs w:val="28"/>
        </w:rPr>
        <w:t>Сельскохозяйственной д</w:t>
      </w:r>
      <w:r w:rsidR="0004036A">
        <w:rPr>
          <w:sz w:val="28"/>
          <w:szCs w:val="28"/>
        </w:rPr>
        <w:t>еятельностью занимаются 24 пред</w:t>
      </w:r>
      <w:r w:rsidRPr="00F00C74">
        <w:rPr>
          <w:sz w:val="28"/>
          <w:szCs w:val="28"/>
        </w:rPr>
        <w:t>приятия, из них   10 юридических лиц и 14 крестьянско</w:t>
      </w:r>
      <w:r w:rsidR="004B40B9">
        <w:rPr>
          <w:sz w:val="28"/>
          <w:szCs w:val="28"/>
        </w:rPr>
        <w:t xml:space="preserve"> </w:t>
      </w:r>
      <w:r w:rsidRPr="00F00C74">
        <w:rPr>
          <w:sz w:val="28"/>
          <w:szCs w:val="28"/>
        </w:rPr>
        <w:t>- фермерских хозяйств. В общей сложности в аграрно промышленной комплексе района занято около 22%</w:t>
      </w:r>
      <w:r w:rsidR="0004036A">
        <w:rPr>
          <w:sz w:val="28"/>
          <w:szCs w:val="28"/>
        </w:rPr>
        <w:t xml:space="preserve"> </w:t>
      </w:r>
      <w:r w:rsidRPr="00F00C74">
        <w:rPr>
          <w:sz w:val="28"/>
          <w:szCs w:val="28"/>
        </w:rPr>
        <w:t xml:space="preserve"> населения работающего в секторе экономике района. Основная специализация хозяйств района: производство растениеводческой   продукции, в основном зерновых и технических культур, а также молочное и мясное скотоводство.</w:t>
      </w:r>
      <w:r w:rsidR="0004036A">
        <w:rPr>
          <w:sz w:val="28"/>
          <w:szCs w:val="28"/>
        </w:rPr>
        <w:t xml:space="preserve"> </w:t>
      </w:r>
      <w:r w:rsidRPr="00F00C74">
        <w:rPr>
          <w:sz w:val="28"/>
          <w:szCs w:val="28"/>
        </w:rPr>
        <w:t xml:space="preserve">Выращен и собран почти рекордный урожай зерновых и зернобобовых культур с площади </w:t>
      </w:r>
      <w:r w:rsidR="0004036A">
        <w:rPr>
          <w:sz w:val="28"/>
          <w:szCs w:val="28"/>
        </w:rPr>
        <w:t xml:space="preserve"> </w:t>
      </w:r>
      <w:r w:rsidRPr="00F00C74">
        <w:rPr>
          <w:sz w:val="28"/>
          <w:szCs w:val="28"/>
        </w:rPr>
        <w:t xml:space="preserve">60 тысяч гектар валовой сбор зерна, в весе после доработки составил более 139 тысячи тонн при урожайности 23 центнера с гектара. В текущем году основанная культура яровая пшеница выращивалась на площади 40 тысяч гектар, при урожайности в 26,3 ц/га валовой сбор составил более 104 тысяч тонн.  Второй раз за последние три года урожайность превысила исторический </w:t>
      </w:r>
      <w:r w:rsidR="00A257DB" w:rsidRPr="00F00C74">
        <w:rPr>
          <w:sz w:val="28"/>
          <w:szCs w:val="28"/>
        </w:rPr>
        <w:t>максимум,</w:t>
      </w:r>
      <w:r w:rsidRPr="00F00C74">
        <w:rPr>
          <w:sz w:val="28"/>
          <w:szCs w:val="28"/>
        </w:rPr>
        <w:t xml:space="preserve"> который продержался 50 лет с 1972 года. Это говорит о стабильном результате новых технологий внедряемых хозяйствами в систему земледелия. Из года в год, стабильно высокие урожаи зерновых культур выращивают крупные предприятия.  Более 30 центнеров с гектара получили ООО «Орбита», крестьянское хозяйство «Зайцев» с 15 тысяч гектар пшеницы собрали урожай по 35 ц/га, в «Агро союз» урожайность пшеницы составила более 33ц/га.</w:t>
      </w:r>
      <w:r w:rsidR="0008114E">
        <w:rPr>
          <w:sz w:val="28"/>
          <w:szCs w:val="28"/>
        </w:rPr>
        <w:t xml:space="preserve"> </w:t>
      </w:r>
      <w:r w:rsidRPr="00F00C74">
        <w:rPr>
          <w:sz w:val="28"/>
          <w:szCs w:val="28"/>
        </w:rPr>
        <w:t xml:space="preserve">Добиваться высокого урожая данным предприятиям помогает высокая степень технического перевооружения.  Ежегодные крупные финансовые вложения и современный комплексный подход к средствам защиты растений от сорняков, от вредителей и </w:t>
      </w:r>
      <w:r w:rsidRPr="00F00C74">
        <w:rPr>
          <w:sz w:val="28"/>
          <w:szCs w:val="28"/>
        </w:rPr>
        <w:lastRenderedPageBreak/>
        <w:t>болезней, а также увеличения применения различных видов удобрений и подкормок. В 2024 году современной высокопроизводительной сельскохозяйственной техники   и орудий приобретено более 111 единиц, из них 4 трактора, 20 зерноуборочных комбайнов, 4 грузовых автомобилей, зерносушилка, посевные агрегаты и навесное оборудования для комбайнов.  Техники приобретено на сумму 1 миллиард 82 миллиона рублей. Наибольший объем техники приобретено в КХ «Зайцев» на сумму более 1 миллиарда рублей.  Ежегодно увеличивается и объем применения химических средств в производстве. Неизбежно увеличивается   и объем средств направляемых на приобретения пестицидов и минеральных удобрений, так в 2024 году на приобретения средств защиты растений хозяйствами потрачено 786 миллионов рублей, что в полтора раза больше уровня прошлого года. На минеральные удобрения направлено 560   миллионов рублей, что на 6% больше уровня 2023 года. За сезон в поля внесено   5 тысяч тонн удобрений, площадь внесения</w:t>
      </w:r>
      <w:r w:rsidR="0008114E">
        <w:rPr>
          <w:sz w:val="28"/>
          <w:szCs w:val="28"/>
        </w:rPr>
        <w:t xml:space="preserve"> удобрений составила 40 тыс.га</w:t>
      </w:r>
      <w:proofErr w:type="gramStart"/>
      <w:r w:rsidR="0008114E">
        <w:rPr>
          <w:sz w:val="28"/>
          <w:szCs w:val="28"/>
        </w:rPr>
        <w:t xml:space="preserve">., </w:t>
      </w:r>
      <w:proofErr w:type="gramEnd"/>
      <w:r w:rsidRPr="00F00C74">
        <w:rPr>
          <w:sz w:val="28"/>
          <w:szCs w:val="28"/>
        </w:rPr>
        <w:t>что на 25% меньше уровня предыдущего года. Из</w:t>
      </w:r>
      <w:r w:rsidR="0008114E">
        <w:rPr>
          <w:sz w:val="28"/>
          <w:szCs w:val="28"/>
        </w:rPr>
        <w:t>-</w:t>
      </w:r>
      <w:r w:rsidRPr="00F00C74">
        <w:rPr>
          <w:sz w:val="28"/>
          <w:szCs w:val="28"/>
        </w:rPr>
        <w:t>за удорожания удобрений хозяйства стали применять менее сложные удобрения 1 и двух компонентные, а также уменьшился обьем внесения жидких удобрений, доза внесения на гектар осталась примерно та же от 80 до 150 кг на гектар. Хозяйствами АПК произведено валовой продукции на сумму 4 миллиарда 602 миллиона рублей, что на 21% больше предыдущего года. В структуре валовой продукции на долю растениеводства приходится 97 % от объема произведенной продукции доля животноводства и    прочие виды работ и услуг составляют 3%.Продукции растениеводства в текущем году реализовано на сумму 4 миллиарда 681   миллион рублей, что на 785 миллионов больше предыдущего года.  Прибыль по хозяйствам снизилась на 21% к уровню 2023 года и   составила 850 миллионов рублей. Дополнительно, сегодня   не реализованной продукции на остатках более 205 тысяч тонн, что на 12% больше уровня прошлого года.</w:t>
      </w:r>
      <w:r w:rsidR="0008114E">
        <w:rPr>
          <w:sz w:val="28"/>
          <w:szCs w:val="28"/>
        </w:rPr>
        <w:t xml:space="preserve"> </w:t>
      </w:r>
      <w:r w:rsidRPr="00F00C74">
        <w:rPr>
          <w:sz w:val="28"/>
          <w:szCs w:val="28"/>
        </w:rPr>
        <w:t>В 2024 году в производство продукции сельхозтоваропроизводителями произведено затрат на сумму 4 миллиарда 491 млн</w:t>
      </w:r>
      <w:proofErr w:type="gramStart"/>
      <w:r w:rsidRPr="00F00C74">
        <w:rPr>
          <w:sz w:val="28"/>
          <w:szCs w:val="28"/>
        </w:rPr>
        <w:t>.р</w:t>
      </w:r>
      <w:proofErr w:type="gramEnd"/>
      <w:r w:rsidRPr="00F00C74">
        <w:rPr>
          <w:sz w:val="28"/>
          <w:szCs w:val="28"/>
        </w:rPr>
        <w:t>уб., что на 30% больше прошлого года. Увеличился объем привлекаемых средств в производство через кредиты и займы и в 2024 году сумма кредитов и займов составила 2 миллиарда 132 млн</w:t>
      </w:r>
      <w:proofErr w:type="gramStart"/>
      <w:r w:rsidRPr="00F00C74">
        <w:rPr>
          <w:sz w:val="28"/>
          <w:szCs w:val="28"/>
        </w:rPr>
        <w:t>.р</w:t>
      </w:r>
      <w:proofErr w:type="gramEnd"/>
      <w:r w:rsidRPr="00F00C74">
        <w:rPr>
          <w:sz w:val="28"/>
          <w:szCs w:val="28"/>
        </w:rPr>
        <w:t>уб. увеличившись на 15%.   Дебиторская задолженность резко увеличилась в 12 раз и составила 2 миллиарда   725 миллионов рублей. Кредиторская задолженность увеличилась в полтора раза и составила 1 миллиард 228 миллионов рублей</w:t>
      </w:r>
      <w:proofErr w:type="gramStart"/>
      <w:r w:rsidRPr="00F00C74">
        <w:rPr>
          <w:sz w:val="28"/>
          <w:szCs w:val="28"/>
        </w:rPr>
        <w:t>.З</w:t>
      </w:r>
      <w:proofErr w:type="gramEnd"/>
      <w:r w:rsidRPr="00F00C74">
        <w:rPr>
          <w:sz w:val="28"/>
          <w:szCs w:val="28"/>
        </w:rPr>
        <w:t xml:space="preserve">акупочные цены на   основную продукцию растениеводства в 2024 гуду были относительно стабильные. Средняя цена реализации зерновых составила 16,1 тысяч рублей за тонну оставшись на уровне 2023 года. Но рентабельность понизилась с 14% до 6% в связи с резким увеличением затрат на себестоимости продукции.   Более рентабельными </w:t>
      </w:r>
      <w:proofErr w:type="gramStart"/>
      <w:r w:rsidRPr="00F00C74">
        <w:rPr>
          <w:sz w:val="28"/>
          <w:szCs w:val="28"/>
        </w:rPr>
        <w:t>оказались зернобобовые культуры по ним рентабельность увеличилась</w:t>
      </w:r>
      <w:proofErr w:type="gramEnd"/>
      <w:r w:rsidRPr="00F00C74">
        <w:rPr>
          <w:sz w:val="28"/>
          <w:szCs w:val="28"/>
        </w:rPr>
        <w:t xml:space="preserve"> с 22 до 30%.   Рентабельность технических культур     основной из них подсолнечник остался на уровне 36 %.По итогам </w:t>
      </w:r>
      <w:r w:rsidRPr="00F00C74">
        <w:rPr>
          <w:sz w:val="28"/>
          <w:szCs w:val="28"/>
        </w:rPr>
        <w:lastRenderedPageBreak/>
        <w:t xml:space="preserve">финансового года аграрии района закончили год с прибылью, общая прибыль составила 850 миллионов </w:t>
      </w:r>
      <w:r w:rsidR="0008114E" w:rsidRPr="00F00C74">
        <w:rPr>
          <w:sz w:val="28"/>
          <w:szCs w:val="28"/>
        </w:rPr>
        <w:t>рублей,</w:t>
      </w:r>
      <w:r w:rsidRPr="00F00C74">
        <w:rPr>
          <w:sz w:val="28"/>
          <w:szCs w:val="28"/>
        </w:rPr>
        <w:t xml:space="preserve"> что на 6% ниже предыдущего года.  Наибольшую прибыль по результатам финансово хозяйственной деятельности получили в КХ «Зайцев и «Агросоюз», Казачья Станица. Три предприятия закончили финансовый год с убытками, это «Алтайский конный завод», СПК им Свердлова, СПК Колхоз Юдихинский.</w:t>
      </w:r>
      <w:r w:rsidR="0008114E">
        <w:rPr>
          <w:sz w:val="28"/>
          <w:szCs w:val="28"/>
        </w:rPr>
        <w:t xml:space="preserve"> </w:t>
      </w:r>
      <w:r w:rsidRPr="00F00C74">
        <w:rPr>
          <w:sz w:val="28"/>
          <w:szCs w:val="28"/>
        </w:rPr>
        <w:t>По итогам финансового года сельхозтоваропроизводителями района начислено к уплате всех видов налогов 56,6 млн</w:t>
      </w:r>
      <w:proofErr w:type="gramStart"/>
      <w:r w:rsidRPr="00F00C74">
        <w:rPr>
          <w:sz w:val="28"/>
          <w:szCs w:val="28"/>
        </w:rPr>
        <w:t>.р</w:t>
      </w:r>
      <w:proofErr w:type="gramEnd"/>
      <w:r w:rsidRPr="00F00C74">
        <w:rPr>
          <w:sz w:val="28"/>
          <w:szCs w:val="28"/>
        </w:rPr>
        <w:t>уб. Налоговая нагрузка по сравнению с 2023 годам уменьшилась в два раза. Самую высокую налоговую нагрузку</w:t>
      </w:r>
      <w:r w:rsidR="0008114E">
        <w:rPr>
          <w:sz w:val="28"/>
          <w:szCs w:val="28"/>
        </w:rPr>
        <w:t>,</w:t>
      </w:r>
      <w:r w:rsidRPr="00F00C74">
        <w:rPr>
          <w:sz w:val="28"/>
          <w:szCs w:val="28"/>
        </w:rPr>
        <w:t xml:space="preserve"> как всегда несут крупные предприятия. </w:t>
      </w:r>
      <w:r w:rsidR="00B37794">
        <w:rPr>
          <w:sz w:val="28"/>
          <w:szCs w:val="28"/>
        </w:rPr>
        <w:t>З</w:t>
      </w:r>
      <w:r w:rsidRPr="00F00C74">
        <w:rPr>
          <w:sz w:val="28"/>
          <w:szCs w:val="28"/>
        </w:rPr>
        <w:t>а 202</w:t>
      </w:r>
      <w:r w:rsidR="0008114E">
        <w:rPr>
          <w:sz w:val="28"/>
          <w:szCs w:val="28"/>
        </w:rPr>
        <w:t>4</w:t>
      </w:r>
      <w:r w:rsidRPr="00F00C74">
        <w:rPr>
          <w:sz w:val="28"/>
          <w:szCs w:val="28"/>
        </w:rPr>
        <w:t xml:space="preserve"> год  более 21,2 млн</w:t>
      </w:r>
      <w:proofErr w:type="gramStart"/>
      <w:r w:rsidRPr="00F00C74">
        <w:rPr>
          <w:sz w:val="28"/>
          <w:szCs w:val="28"/>
        </w:rPr>
        <w:t>.р</w:t>
      </w:r>
      <w:proofErr w:type="gramEnd"/>
      <w:r w:rsidRPr="00F00C74">
        <w:rPr>
          <w:sz w:val="28"/>
          <w:szCs w:val="28"/>
        </w:rPr>
        <w:t>уб., начислено «Казачья станица», 7,9 млн.руб.  «Агросоюз», более 4,3 млн.руб.,СПК им Свердлова, 2,9 млн.руб.,  «Карповское», 2,5 млн.руб., «Агро», среди индивидуальных предпринимателей наибольший объем налогов начислен  КФХ Базаров Е.А около  1,6 млн.руб.</w:t>
      </w:r>
      <w:r w:rsidR="00B37794">
        <w:rPr>
          <w:sz w:val="28"/>
          <w:szCs w:val="28"/>
        </w:rPr>
        <w:t xml:space="preserve"> </w:t>
      </w:r>
      <w:r w:rsidRPr="00F00C74">
        <w:rPr>
          <w:sz w:val="28"/>
          <w:szCs w:val="28"/>
        </w:rPr>
        <w:t>Дополнительную помощь развитию экономики агро промыщленного комплекса способствует и государственная поддержка. Сельскохозяйственные предприятия всех форм собственности участвуют в основных программах поддержки сельскохозяйственного производства. В 2024 году сельхозтоваропроизводителями получено 22 миллиона 440 тысяч рублей субсидий, что в 4 с лишним раза меньше 2023 года, из них 13,9 млн</w:t>
      </w:r>
      <w:proofErr w:type="gramStart"/>
      <w:r w:rsidRPr="00F00C74">
        <w:rPr>
          <w:sz w:val="28"/>
          <w:szCs w:val="28"/>
        </w:rPr>
        <w:t>.р</w:t>
      </w:r>
      <w:proofErr w:type="gramEnd"/>
      <w:r w:rsidRPr="00F00C74">
        <w:rPr>
          <w:sz w:val="28"/>
          <w:szCs w:val="28"/>
        </w:rPr>
        <w:t>уб. на программы и мероприятия по развитию растениеводства, 850 тысяч на поддержку животноводства 7,7 миллиона   по прочим видам государственной поддержки.2024 год в животноводстве для нашего района был и остаётся сложным.  Но, тем не менее, за год валовой надой молока   по коллективным хозяйствам составил 2431 тонну, сократившись на 32% к уровню предыдущего года.  Сокращение валового производства молока связано с сокращением поголовья коров на 520 голов. Сокращение прошло на 300 голов коров в СПК «Юдихинский», 140 голов в КХ «Зайцев», 80 голов СПК им Свердлова.   Средний удой на одну корову составил 3382 кг молока в год. Неплохих показателей по надою молока на фуражную корову добились животноводы СПК им. Свердлова надоившие 3612 кг</w:t>
      </w:r>
      <w:proofErr w:type="gramStart"/>
      <w:r w:rsidRPr="00F00C74">
        <w:rPr>
          <w:sz w:val="28"/>
          <w:szCs w:val="28"/>
        </w:rPr>
        <w:t>.м</w:t>
      </w:r>
      <w:proofErr w:type="gramEnd"/>
      <w:r w:rsidRPr="00F00C74">
        <w:rPr>
          <w:sz w:val="28"/>
          <w:szCs w:val="28"/>
        </w:rPr>
        <w:t>олока на 1 фуражную корову. Также стабильные надои в КХ «Зайцев», где среднесуточный удой на корову составил 3531 кг. молока</w:t>
      </w:r>
      <w:proofErr w:type="gramStart"/>
      <w:r w:rsidRPr="00F00C74">
        <w:rPr>
          <w:sz w:val="28"/>
          <w:szCs w:val="28"/>
        </w:rPr>
        <w:t>.О</w:t>
      </w:r>
      <w:proofErr w:type="gramEnd"/>
      <w:r w:rsidRPr="00F00C74">
        <w:rPr>
          <w:sz w:val="28"/>
          <w:szCs w:val="28"/>
        </w:rPr>
        <w:t xml:space="preserve">бщее сокращение поголовья крупного рогатого скота в сельхоз организациях за 2024 год составила 675 голов, что составляет 21 %. В личных подсобных хозяйствах граждан сокращение поголовья КРС составило 27%. </w:t>
      </w:r>
      <w:r w:rsidR="00F0653D">
        <w:rPr>
          <w:sz w:val="28"/>
          <w:szCs w:val="28"/>
        </w:rPr>
        <w:t>З</w:t>
      </w:r>
      <w:r w:rsidRPr="00F0653D">
        <w:rPr>
          <w:sz w:val="28"/>
          <w:szCs w:val="28"/>
        </w:rPr>
        <w:t>а год ну населения закуплено 2075 тон молока и реализовано 1415 тонн мяса.</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C4367F" w:rsidRDefault="00954C8F" w:rsidP="00F00C74">
      <w:pPr>
        <w:ind w:firstLine="709"/>
        <w:jc w:val="both"/>
        <w:divId w:val="1006633197"/>
        <w:rPr>
          <w:sz w:val="28"/>
          <w:szCs w:val="28"/>
        </w:rPr>
      </w:pPr>
      <w:r w:rsidRPr="00C4367F">
        <w:rPr>
          <w:sz w:val="28"/>
          <w:szCs w:val="28"/>
        </w:rPr>
        <w:t xml:space="preserve">В 2024 году для улучшения инвестиционного климата разработан муниципальный инвестиционный стандарт 2.0  и подписано соглашение с КАУ «Алтайский центр государственно-частного партнерства и привлечения инвестиции» по сопровождению инвестиционных проектов, </w:t>
      </w:r>
      <w:r w:rsidRPr="00C4367F">
        <w:rPr>
          <w:sz w:val="28"/>
          <w:szCs w:val="28"/>
        </w:rPr>
        <w:lastRenderedPageBreak/>
        <w:t>реализующих и планируемых к реализации на территории района в различных сферах экономики</w:t>
      </w:r>
      <w:proofErr w:type="gramStart"/>
      <w:r w:rsidRPr="00C4367F">
        <w:rPr>
          <w:sz w:val="28"/>
          <w:szCs w:val="28"/>
        </w:rPr>
        <w:t>.П</w:t>
      </w:r>
      <w:proofErr w:type="gramEnd"/>
      <w:r w:rsidRPr="00C4367F">
        <w:rPr>
          <w:sz w:val="28"/>
          <w:szCs w:val="28"/>
        </w:rPr>
        <w:t>о итогам 2024 года наш район находится на 6 месте среди района края по вложению инвестиций в основной капитал на душу населения. Общий объем инвестиций составил 1 167 761 тыс. рублей. Темп роста к уровню прошлого года  составил 2,7 %. На техническое перевооружение сельскохозяйственной техники и оборудования предприятиями  направлено 1 125 215 тыс. рублей, что на 7,7 % больше по сравнению к уровню прошлого года. За счёт всех уровней  бюджета освоено 42,5 млн. рублей, из них 10,7 млн.рублей на техническое перевооружение сооружений коммунального хозяйства</w:t>
      </w:r>
      <w:proofErr w:type="gramStart"/>
      <w:r w:rsidRPr="00C4367F">
        <w:rPr>
          <w:sz w:val="28"/>
          <w:szCs w:val="28"/>
        </w:rPr>
        <w:t>.О</w:t>
      </w:r>
      <w:proofErr w:type="gramEnd"/>
      <w:r w:rsidRPr="00C4367F">
        <w:rPr>
          <w:sz w:val="28"/>
          <w:szCs w:val="28"/>
        </w:rPr>
        <w:t>пределяя цели и задачи администрация Тюменцевского района разрабатывала план мероприятий по их осуществлению. Основным инструментом достижения целей и решения наиболее важных задач являются  муниципальные программы. В 2024 году в районе действовали 19 муниципальных программ, которые охватывают практически все отрасли экономики и социальной сферы</w:t>
      </w:r>
      <w:proofErr w:type="gramStart"/>
      <w:r w:rsidRPr="00C4367F">
        <w:rPr>
          <w:sz w:val="28"/>
          <w:szCs w:val="28"/>
        </w:rPr>
        <w:t>.В</w:t>
      </w:r>
      <w:proofErr w:type="gramEnd"/>
      <w:r w:rsidRPr="00C4367F">
        <w:rPr>
          <w:sz w:val="28"/>
          <w:szCs w:val="28"/>
        </w:rPr>
        <w:t>сего на реализацию муниципальных  программ в 2024 году было направлено 348 миллионов рублей.Из них:- средства федерального бюджета – 18,9  миллионов рублей- средства краевого бюджета – 227 миллионов рублей- средства муниципального бюджета составили  102,1 миллион рублей.В 2024 году реализованы четыре проекта Поддержки местных инициатив  на сумму 5,4 млн. рублей, с краевого бюджета профинансировано  3,6 млн</w:t>
      </w:r>
      <w:proofErr w:type="gramStart"/>
      <w:r w:rsidRPr="00C4367F">
        <w:rPr>
          <w:sz w:val="28"/>
          <w:szCs w:val="28"/>
        </w:rPr>
        <w:t>.р</w:t>
      </w:r>
      <w:proofErr w:type="gramEnd"/>
      <w:r w:rsidRPr="00C4367F">
        <w:rPr>
          <w:sz w:val="28"/>
          <w:szCs w:val="28"/>
        </w:rPr>
        <w:t xml:space="preserve">ублей, с районного бюджета 938 тыс. рублей, население и юридические лица района внесли  805,7 тыс. рублей. Реализованы такие проекты, как ремонт дорог в с. Урывки, с. Мезенцево, установлено уличное освещение в пос. Королевский, благоустроен объект, используемый для проведения общественных и культурно-массовых мероприятий </w:t>
      </w:r>
      <w:proofErr w:type="gramStart"/>
      <w:r w:rsidRPr="00C4367F">
        <w:rPr>
          <w:sz w:val="28"/>
          <w:szCs w:val="28"/>
        </w:rPr>
        <w:t>в</w:t>
      </w:r>
      <w:proofErr w:type="gramEnd"/>
      <w:r w:rsidRPr="00C4367F">
        <w:rPr>
          <w:sz w:val="28"/>
          <w:szCs w:val="28"/>
        </w:rPr>
        <w:t xml:space="preserve"> с. Шарчино. В 2024 году было подано 7 заявок на участие в конкурсе на 2025 год, все заявки прошли конкурсный отбор. Это ограждение оздоровительного лагеря «Чайка», ремонт дорог в с. Урывки и с. Вылково, благоустройство кладбища </w:t>
      </w:r>
      <w:proofErr w:type="gramStart"/>
      <w:r w:rsidRPr="00C4367F">
        <w:rPr>
          <w:sz w:val="28"/>
          <w:szCs w:val="28"/>
        </w:rPr>
        <w:t>в</w:t>
      </w:r>
      <w:proofErr w:type="gramEnd"/>
      <w:r w:rsidRPr="00C4367F">
        <w:rPr>
          <w:sz w:val="28"/>
          <w:szCs w:val="28"/>
        </w:rPr>
        <w:t xml:space="preserve"> </w:t>
      </w:r>
      <w:proofErr w:type="gramStart"/>
      <w:r w:rsidRPr="00C4367F">
        <w:rPr>
          <w:sz w:val="28"/>
          <w:szCs w:val="28"/>
        </w:rPr>
        <w:t>с</w:t>
      </w:r>
      <w:proofErr w:type="gramEnd"/>
      <w:r w:rsidRPr="00C4367F">
        <w:rPr>
          <w:sz w:val="28"/>
          <w:szCs w:val="28"/>
        </w:rPr>
        <w:t>. Юдиха, уличное освещение в с. Шарчино, благоустройство в с. Андроново и ремонт кровли ДК в пос.</w:t>
      </w:r>
      <w:r w:rsidR="001127C6">
        <w:rPr>
          <w:sz w:val="28"/>
          <w:szCs w:val="28"/>
        </w:rPr>
        <w:t xml:space="preserve"> </w:t>
      </w:r>
      <w:r w:rsidRPr="00C4367F">
        <w:rPr>
          <w:sz w:val="28"/>
          <w:szCs w:val="28"/>
        </w:rPr>
        <w:t>Королевском</w:t>
      </w:r>
    </w:p>
    <w:p w:rsidR="0074511A" w:rsidRDefault="0074511A" w:rsidP="008E0719">
      <w:pPr>
        <w:spacing w:before="240" w:after="240" w:line="276" w:lineRule="auto"/>
        <w:jc w:val="center"/>
        <w:divId w:val="672149918"/>
      </w:pPr>
      <w:r w:rsidRPr="00C4367F">
        <w:rPr>
          <w:rStyle w:val="a3"/>
          <w:sz w:val="28"/>
          <w:szCs w:val="28"/>
        </w:rPr>
        <w:t>Состояние малого и среднего предпринимательства, меры</w:t>
      </w:r>
      <w:r>
        <w:rPr>
          <w:rStyle w:val="a3"/>
          <w:sz w:val="28"/>
          <w:szCs w:val="28"/>
        </w:rPr>
        <w:t xml:space="preserve"> государственной поддержки малого и среднего предпринимательства </w:t>
      </w:r>
    </w:p>
    <w:p w:rsidR="0074511A" w:rsidRPr="00C4367F" w:rsidRDefault="001F1010" w:rsidP="00F00C74">
      <w:pPr>
        <w:ind w:firstLine="709"/>
        <w:jc w:val="both"/>
        <w:divId w:val="672149918"/>
        <w:rPr>
          <w:sz w:val="28"/>
          <w:szCs w:val="28"/>
        </w:rPr>
      </w:pPr>
      <w:r w:rsidRPr="00C4367F">
        <w:rPr>
          <w:sz w:val="28"/>
          <w:szCs w:val="28"/>
        </w:rPr>
        <w:t>В настоящее время в предпринимательском секторе насчитывается 631 организаций малого, среднего предпринимательства и самозанятых. Из них 232 индивидуальных предпринимателей, 370 самозанятых, 26 малых и 3 средних предприятий. Число занятых в этом секторе экономики составляет 970 человек, уровень среднемесячной заработной платы составил 24108  рублей.  Из общего количества работающих в районе 27,8  процентов заняты в малом и среднем бизнесе. 13,5 процентов доля вклада предпринимателей в доходы консолидированного бюджета, что составило в 2024 году  -19,3 млн. рублей</w:t>
      </w:r>
      <w:proofErr w:type="gramStart"/>
      <w:r w:rsidRPr="00C4367F">
        <w:rPr>
          <w:sz w:val="28"/>
          <w:szCs w:val="28"/>
        </w:rPr>
        <w:t>.О</w:t>
      </w:r>
      <w:proofErr w:type="gramEnd"/>
      <w:r w:rsidRPr="00C4367F">
        <w:rPr>
          <w:sz w:val="28"/>
          <w:szCs w:val="28"/>
        </w:rPr>
        <w:t xml:space="preserve">борот розничной торговли составил 600 </w:t>
      </w:r>
      <w:r w:rsidRPr="00C4367F">
        <w:rPr>
          <w:sz w:val="28"/>
          <w:szCs w:val="28"/>
        </w:rPr>
        <w:lastRenderedPageBreak/>
        <w:t>млн. рублей, к уровню прошлого года 143%. Оборот общественного питания составил 5,8 млн. рублей, к уровню прошлого года 152,5%. Платные услуги населению составили 30,6 млн. рублей к уровню прошлого года 109,5</w:t>
      </w:r>
      <w:r w:rsidR="001127C6">
        <w:rPr>
          <w:sz w:val="28"/>
          <w:szCs w:val="28"/>
        </w:rPr>
        <w:t xml:space="preserve"> </w:t>
      </w:r>
      <w:r w:rsidRPr="00C4367F">
        <w:rPr>
          <w:sz w:val="28"/>
          <w:szCs w:val="28"/>
        </w:rPr>
        <w:t>%.Сфера розничной торговли представлена 101 торговым объектом, площадь которых составляет 7521,1 кв.м. Обеспеченность населения торговыми площадями составил 696,3 кв.м на 1000 жителей, что на 120</w:t>
      </w:r>
      <w:r w:rsidR="001127C6">
        <w:rPr>
          <w:sz w:val="28"/>
          <w:szCs w:val="28"/>
        </w:rPr>
        <w:t xml:space="preserve"> </w:t>
      </w:r>
      <w:r w:rsidRPr="00C4367F">
        <w:rPr>
          <w:sz w:val="28"/>
          <w:szCs w:val="28"/>
        </w:rPr>
        <w:t>% выше норматива.</w:t>
      </w:r>
      <w:r w:rsidR="00262161">
        <w:rPr>
          <w:sz w:val="28"/>
          <w:szCs w:val="28"/>
        </w:rPr>
        <w:t xml:space="preserve"> </w:t>
      </w:r>
      <w:r w:rsidRPr="00C4367F">
        <w:rPr>
          <w:sz w:val="28"/>
          <w:szCs w:val="28"/>
        </w:rPr>
        <w:t>На территории района осуществляют деятельность 6 кафе с общей площадью 327,5 кв.м. с 143 посадочными местами</w:t>
      </w:r>
      <w:proofErr w:type="gramStart"/>
      <w:r w:rsidRPr="00C4367F">
        <w:rPr>
          <w:sz w:val="28"/>
          <w:szCs w:val="28"/>
        </w:rPr>
        <w:t>.С</w:t>
      </w:r>
      <w:proofErr w:type="gramEnd"/>
      <w:r w:rsidRPr="00C4367F">
        <w:rPr>
          <w:sz w:val="28"/>
          <w:szCs w:val="28"/>
        </w:rPr>
        <w:t>фера туризма в районе представлена 2 гостиницами и детским лагерем «Чайка». В гостиницах расположено 24 койко-места. За 2024 год в гостиницах проживало 505 человек. В детском лагере «Чайка» отдохнуло  345 человек. Платные услуги населению в районе представлены такими видами услуг как: ремонт и пошив швейных изделий, ремонт и техническое обслуживание бытовой техники, техническое обслуживание и ремонт транспортных средств, изготовление и ремонт мебели, ремонт и строительство жилья и др. построек, услуги парикмахерских и т.д. Всего в сфере платных услуг осуществляют деятельность 26 предпринимателей и 7 самозанятых</w:t>
      </w:r>
      <w:proofErr w:type="gramStart"/>
      <w:r w:rsidRPr="00C4367F">
        <w:rPr>
          <w:sz w:val="28"/>
          <w:szCs w:val="28"/>
        </w:rPr>
        <w:t>.А</w:t>
      </w:r>
      <w:proofErr w:type="gramEnd"/>
      <w:r w:rsidRPr="00C4367F">
        <w:rPr>
          <w:sz w:val="28"/>
          <w:szCs w:val="28"/>
        </w:rPr>
        <w:t>дминистрация района осуществляет поддержку по всем вопросам, связанным с организацией и ведением предпринимательской деятельности. Проводимый комплекс мероприятий позволяет субъектам малого и среднего предпринимательства, социально-незащищённых слоям населения и молодёжи получить бесплатную информацию об инфраструктуре поддержки предпринимательской деятельности, общеправовым вопросам, регистрации и перерегистрации ИП/ООО, вопросам, связанным с налогообложением и бухгалтерией при организации и ведении бизнеса, кадровым вопросам и т.д. Доступность получения информации способствует повышению бизнес-грамотности субъектов малого предпринимательства и побуждает интерес  ведению предпринимательской деятельности на территории Тюменцевского района. По итогам года обратилось 231 человек, из них СМП 215. Оказано  консультации по вопросам предоставления отчётности, открытия собственного дела, маркировки товаров, разработки бизнес-планов и участие в торгах. Финансовой поддержкой в 2024 году воспользовались 7 предпринимателей на сумму 1,1 млн. рублей и  7 юридических лиц</w:t>
      </w:r>
      <w:r w:rsidRPr="001F1010">
        <w:t xml:space="preserve"> на сумму </w:t>
      </w:r>
      <w:r w:rsidRPr="00C4367F">
        <w:rPr>
          <w:sz w:val="28"/>
          <w:szCs w:val="28"/>
        </w:rPr>
        <w:t>21,3 млн. рублей</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C4367F" w:rsidRDefault="00954C8F" w:rsidP="00F00C74">
      <w:pPr>
        <w:ind w:firstLine="709"/>
        <w:jc w:val="both"/>
        <w:divId w:val="1356543834"/>
        <w:rPr>
          <w:sz w:val="28"/>
          <w:szCs w:val="28"/>
        </w:rPr>
      </w:pPr>
      <w:r w:rsidRPr="00C4367F">
        <w:rPr>
          <w:sz w:val="28"/>
          <w:szCs w:val="28"/>
        </w:rPr>
        <w:t xml:space="preserve">Одним из важнейших направлений политики по повышению качества жизни населения является обеспечение занятости населения и повышение доли эффективных рабочих мест. На 1 января 2025 года численность официально зарегистрированных безработных в районе составила 138 человек   численность трудоспособного населения   районе 5495 чел.  В течение 2024 года в Тюменцевский  центр занятости </w:t>
      </w:r>
      <w:r w:rsidRPr="00C4367F">
        <w:rPr>
          <w:sz w:val="28"/>
          <w:szCs w:val="28"/>
        </w:rPr>
        <w:lastRenderedPageBreak/>
        <w:t>населения  в поиске подходящей работы  обратилось   340  жителей района из них трудоустроено  234  человек, а так же  трудоустроена 70 подросток. За отчетный период в банк вакансий поступило 1013 предложений. Напряженность на официальном рынке труда составляет 2,5 человек на одну вакансию. В организации общественных и временных работ с начала года приняло участие 25 человека, организация временного трудоустройства безработных граждан, испытывающих трудности в поисках работы 13 чел.  С целью развитие системы подготовки кадров для приоритетных секторов экономики" 15 безработных граждан, завершили профессиональное обучение и получили дополнительное профессиональное образование по направлению органов службы занятости, Для реализации программных мероприятий содействия занятости в целом за 2024 год центром занятости было направлено  из средств краевого бюджета 187,650 тыс. рублей. Активная политика, проводимая в районе по легализации скрытой занятости, позволила продолжить работу с работодателями в рамках социальной ответственности перед работниками. Легализованы трудовые отношения со 120 работниками, выполнение планового показателя составило 110%. В 2024 году было введено 77 новых рабочих мест   при плановом показателе 75 рабочих мест.</w:t>
      </w:r>
      <w:r w:rsidR="00DF68EA">
        <w:rPr>
          <w:sz w:val="28"/>
          <w:szCs w:val="28"/>
        </w:rPr>
        <w:t xml:space="preserve"> </w:t>
      </w:r>
      <w:r w:rsidRPr="00C4367F">
        <w:rPr>
          <w:sz w:val="28"/>
          <w:szCs w:val="28"/>
        </w:rPr>
        <w:t>По итогам 2024 года среднемесячная заработная плата работников крупных и средних организаций района составила 40623,90 руб., темп роста 120,6 %.</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C4367F" w:rsidRDefault="001F1010" w:rsidP="00DF68EA">
      <w:pPr>
        <w:ind w:firstLine="709"/>
        <w:jc w:val="both"/>
        <w:divId w:val="1611469857"/>
        <w:rPr>
          <w:sz w:val="28"/>
          <w:szCs w:val="28"/>
        </w:rPr>
      </w:pPr>
      <w:r w:rsidRPr="00C4367F">
        <w:rPr>
          <w:sz w:val="28"/>
          <w:szCs w:val="28"/>
        </w:rPr>
        <w:t>   В 2024 году по сравнению с предыдущим периодом среднедушевые денежные доходы жителей района возросли на 15,4%. Увеличение в основном  произошло за счет повышения уровня  заработной платы и социальных выплат. В рамках программы «Государственная поддержка многодетных семей» 240 многодетных семей, в которых 39 учащихся, получили дополнительную поддержку в виде единовременной денежной выплаты для подготовки к школе перв</w:t>
      </w:r>
      <w:r w:rsidR="00DF68EA">
        <w:rPr>
          <w:sz w:val="28"/>
          <w:szCs w:val="28"/>
        </w:rPr>
        <w:t>оклассника из многодетной семьи</w:t>
      </w:r>
      <w:r w:rsidRPr="00C4367F">
        <w:rPr>
          <w:sz w:val="28"/>
          <w:szCs w:val="28"/>
        </w:rPr>
        <w:t>. </w:t>
      </w:r>
      <w:r w:rsidR="00DF68EA">
        <w:rPr>
          <w:sz w:val="28"/>
          <w:szCs w:val="28"/>
        </w:rPr>
        <w:t xml:space="preserve"> </w:t>
      </w:r>
      <w:r w:rsidRPr="00C4367F">
        <w:rPr>
          <w:sz w:val="28"/>
          <w:szCs w:val="28"/>
        </w:rPr>
        <w:t xml:space="preserve">Ежемесячная денежная выплата при рождении третьего ребенка или последующих детей до достижения ребенком возраста трех лет выплачена в размере 3 </w:t>
      </w:r>
      <w:r w:rsidR="00262161" w:rsidRPr="00C4367F">
        <w:rPr>
          <w:sz w:val="28"/>
          <w:szCs w:val="28"/>
        </w:rPr>
        <w:t>млн.</w:t>
      </w:r>
      <w:r w:rsidRPr="00C4367F">
        <w:rPr>
          <w:sz w:val="28"/>
          <w:szCs w:val="28"/>
        </w:rPr>
        <w:t xml:space="preserve"> 288 тыс</w:t>
      </w:r>
      <w:proofErr w:type="gramStart"/>
      <w:r w:rsidRPr="00C4367F">
        <w:rPr>
          <w:sz w:val="28"/>
          <w:szCs w:val="28"/>
        </w:rPr>
        <w:t>.р</w:t>
      </w:r>
      <w:proofErr w:type="gramEnd"/>
      <w:r w:rsidRPr="00C4367F">
        <w:rPr>
          <w:sz w:val="28"/>
          <w:szCs w:val="28"/>
        </w:rPr>
        <w:t>уб. 9 многодетных семей воспользовалась средствами регионального материнского (семейного) капитала на улучшение жилищных условий и на оплату образовательных услуг в объеме 488 тыс. руб. С октября 2020 года предоставляется новая мера социальной поддержки детей из малообеспеченных и многодетных семей в виде ежегодной денежной выплаты на школьные нужды.  Размер выплаты составляет 1000 рублей на каждого школьника, обучающегося в общеобразовательных организациях Алтайского края. За 2024 год выплачена 400 получателям на сумму 400 тысяч</w:t>
      </w:r>
      <w:proofErr w:type="gramStart"/>
      <w:r w:rsidRPr="00C4367F">
        <w:rPr>
          <w:sz w:val="28"/>
          <w:szCs w:val="28"/>
        </w:rPr>
        <w:t>.</w:t>
      </w:r>
      <w:proofErr w:type="gramEnd"/>
      <w:r w:rsidRPr="00C4367F">
        <w:rPr>
          <w:sz w:val="28"/>
          <w:szCs w:val="28"/>
        </w:rPr>
        <w:t xml:space="preserve"> </w:t>
      </w:r>
      <w:proofErr w:type="gramStart"/>
      <w:r w:rsidRPr="00C4367F">
        <w:rPr>
          <w:sz w:val="28"/>
          <w:szCs w:val="28"/>
        </w:rPr>
        <w:t>р</w:t>
      </w:r>
      <w:proofErr w:type="gramEnd"/>
      <w:r w:rsidRPr="00C4367F">
        <w:rPr>
          <w:sz w:val="28"/>
          <w:szCs w:val="28"/>
        </w:rPr>
        <w:t>ублей.</w:t>
      </w:r>
      <w:r w:rsidR="00DF68EA">
        <w:rPr>
          <w:sz w:val="28"/>
          <w:szCs w:val="28"/>
        </w:rPr>
        <w:t xml:space="preserve"> </w:t>
      </w:r>
      <w:r w:rsidRPr="00C4367F">
        <w:rPr>
          <w:sz w:val="28"/>
          <w:szCs w:val="28"/>
        </w:rPr>
        <w:t xml:space="preserve">С 01.04.2024 вступил в силу закон Алтайского края от 28.04.2024 № 16 «О мерах социальной поддержки многодетных семей в </w:t>
      </w:r>
      <w:r w:rsidRPr="00C4367F">
        <w:rPr>
          <w:sz w:val="28"/>
          <w:szCs w:val="28"/>
        </w:rPr>
        <w:lastRenderedPageBreak/>
        <w:t>Алтайском крае».</w:t>
      </w:r>
      <w:r w:rsidR="00DF68EA">
        <w:rPr>
          <w:sz w:val="28"/>
          <w:szCs w:val="28"/>
        </w:rPr>
        <w:t xml:space="preserve"> </w:t>
      </w:r>
      <w:r w:rsidRPr="00C4367F">
        <w:rPr>
          <w:sz w:val="28"/>
          <w:szCs w:val="28"/>
        </w:rPr>
        <w:t>Многодетным семьям льгота по оплате жилого помещения и коммунальных услуг в размере 30% предоставляется в виде компенсации расходов на оплату жилого помещения и коммунальных услуг. В управление соцзащиты за государственной услугой обратилось 28 семей. Удостоверение многодетной семьи получили 77 семей. В отчетном году компенсация расходов на оплату жилого помещения и коммунальных услу</w:t>
      </w:r>
      <w:proofErr w:type="gramStart"/>
      <w:r w:rsidRPr="00C4367F">
        <w:rPr>
          <w:sz w:val="28"/>
          <w:szCs w:val="28"/>
        </w:rPr>
        <w:t>г(</w:t>
      </w:r>
      <w:proofErr w:type="gramEnd"/>
      <w:r w:rsidRPr="00C4367F">
        <w:rPr>
          <w:sz w:val="28"/>
          <w:szCs w:val="28"/>
        </w:rPr>
        <w:t>ЕДК) предоставлена 2196 получателям на общую сумму 14 млн 324 тыс. рублей.</w:t>
      </w:r>
      <w:r w:rsidR="00DF68EA">
        <w:rPr>
          <w:sz w:val="28"/>
          <w:szCs w:val="28"/>
        </w:rPr>
        <w:t xml:space="preserve"> </w:t>
      </w:r>
      <w:r w:rsidRPr="00C4367F">
        <w:rPr>
          <w:sz w:val="28"/>
          <w:szCs w:val="28"/>
        </w:rPr>
        <w:t xml:space="preserve">Предоставлены меры социальной поддержки в части оплаты жилищно-коммунальных услуг 448 педагогическим работникам образовательных учреждений, работающим и проживающим в сельской местности на 14 </w:t>
      </w:r>
      <w:proofErr w:type="gramStart"/>
      <w:r w:rsidRPr="00C4367F">
        <w:rPr>
          <w:sz w:val="28"/>
          <w:szCs w:val="28"/>
        </w:rPr>
        <w:t>млн</w:t>
      </w:r>
      <w:proofErr w:type="gramEnd"/>
      <w:r w:rsidRPr="00C4367F">
        <w:rPr>
          <w:sz w:val="28"/>
          <w:szCs w:val="28"/>
        </w:rPr>
        <w:t xml:space="preserve"> 526 тыс.руб.. ЕДВ сельским специалистам выплачено 213 получателям на общую сумму 2 </w:t>
      </w:r>
      <w:r w:rsidR="00DF68EA" w:rsidRPr="00C4367F">
        <w:rPr>
          <w:sz w:val="28"/>
          <w:szCs w:val="28"/>
        </w:rPr>
        <w:t>млн.</w:t>
      </w:r>
      <w:r w:rsidRPr="00C4367F">
        <w:rPr>
          <w:sz w:val="28"/>
          <w:szCs w:val="28"/>
        </w:rPr>
        <w:t xml:space="preserve"> 981 тыс. руб.    В 2024 году заключили 53 социальных контрактов с малоимущими семьями, по направлениям: 15 на трудоустройство; 7 на открытие ИП; 24 на развитие ЛПХ и 7 на иное направление. Сумма реализованных соцконтрактов за 2024 год составила 8 млн 901 тыс.рублей</w:t>
      </w:r>
      <w:proofErr w:type="gramStart"/>
      <w:r w:rsidRPr="00C4367F">
        <w:rPr>
          <w:sz w:val="28"/>
          <w:szCs w:val="28"/>
        </w:rPr>
        <w:t>.В</w:t>
      </w:r>
      <w:proofErr w:type="gramEnd"/>
      <w:r w:rsidRPr="00C4367F">
        <w:rPr>
          <w:sz w:val="28"/>
          <w:szCs w:val="28"/>
        </w:rPr>
        <w:t xml:space="preserve"> 2024 году 61 жителям Тюменцевского района предоставили единовременную материальную помощь в денежной форме малоимущим гражданам и гражданам, находящимся в трудной жизненной ситуации. Размер материальной помощи составил 121тыс 400 рублей.  С 2022 года в Министерстве социальной защиты населения Алтайского края осуществляется новая выплат</w:t>
      </w:r>
      <w:proofErr w:type="gramStart"/>
      <w:r w:rsidRPr="00C4367F">
        <w:rPr>
          <w:sz w:val="28"/>
          <w:szCs w:val="28"/>
        </w:rPr>
        <w:t>а-</w:t>
      </w:r>
      <w:proofErr w:type="gramEnd"/>
      <w:r w:rsidRPr="00C4367F">
        <w:rPr>
          <w:sz w:val="28"/>
          <w:szCs w:val="28"/>
        </w:rPr>
        <w:t xml:space="preserve"> материальная помощь отдельным категориям граждан, принимающим (принимавшим)участие в специальной военной операции, и членам их семей, управление социальной защиты осуществляет прием пакетов документов.  По данному направлению принято 110 пакетов документов и передано в Министерство соцзащиты</w:t>
      </w:r>
      <w:r w:rsidRPr="001F1010">
        <w:t xml:space="preserve"> </w:t>
      </w:r>
      <w:r w:rsidRPr="00C4367F">
        <w:rPr>
          <w:sz w:val="28"/>
          <w:szCs w:val="28"/>
        </w:rPr>
        <w:t>для предоставления выплаты.</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C4367F" w:rsidRDefault="00954C8F" w:rsidP="00F00C74">
      <w:pPr>
        <w:ind w:firstLine="709"/>
        <w:jc w:val="both"/>
        <w:divId w:val="1437944105"/>
        <w:rPr>
          <w:sz w:val="28"/>
          <w:szCs w:val="28"/>
        </w:rPr>
      </w:pPr>
      <w:r w:rsidRPr="00C4367F">
        <w:rPr>
          <w:sz w:val="28"/>
          <w:szCs w:val="28"/>
        </w:rPr>
        <w:t>За 2024 год в консолидированный бюджет района поступило доходов 598,4 млн. рублей, или 118,5 % к уровню 2023 года (504,9 млн. рублей в 2023 году), в том числе собственные доходы составили 142,3 млн. рублей при утвержденном плане 122,9 млн. руб., что составляет 116% и безвозмездные поступления в сумме 456,1 млн. рублей. Удельный вес собственных доходов в сумме общих поступлений составил 23,8%, безвозмездные поступления -  76,2 %. Положительная динамика поступлений в 2024 году достигнута по следующим доходным источникам:- налог на доходы физических лиц, удельный вес которого в сумме собственных доходов составил 56%, или 79,5 млн. руб. По сравнению с 2023 годом поступления увеличились на сумму 12,5 млн. руб., или на 19%. Основной причиной положительной динамики является индексация заработной платы, повышение МРОТ (от налогоплательщиков КХ Зайцев + 1 860 тыс.</w:t>
      </w:r>
      <w:r w:rsidR="00DF68EA">
        <w:rPr>
          <w:sz w:val="28"/>
          <w:szCs w:val="28"/>
        </w:rPr>
        <w:t xml:space="preserve"> </w:t>
      </w:r>
      <w:r w:rsidRPr="00C4367F">
        <w:rPr>
          <w:sz w:val="28"/>
          <w:szCs w:val="28"/>
        </w:rPr>
        <w:t xml:space="preserve">руб.; «Тюменцевский Детский Психоневрологический Интернат» + 1 191 тыс. руб., «Тюменцевская ЦРБ» </w:t>
      </w:r>
      <w:r w:rsidRPr="00C4367F">
        <w:rPr>
          <w:sz w:val="28"/>
          <w:szCs w:val="28"/>
        </w:rPr>
        <w:lastRenderedPageBreak/>
        <w:t xml:space="preserve">+ 970 тыс. руб.,  Тюменцевская средняя школа + 710 тыс. рублей и др.);- </w:t>
      </w:r>
      <w:proofErr w:type="gramStart"/>
      <w:r w:rsidRPr="00C4367F">
        <w:rPr>
          <w:sz w:val="28"/>
          <w:szCs w:val="28"/>
        </w:rPr>
        <w:t>налог, взимаемый в связи с применением упрощенной системы налогообложения поступило</w:t>
      </w:r>
      <w:proofErr w:type="gramEnd"/>
      <w:r w:rsidRPr="00C4367F">
        <w:rPr>
          <w:sz w:val="28"/>
          <w:szCs w:val="28"/>
        </w:rPr>
        <w:t xml:space="preserve"> в сумме 7 млн.311 тыс. руб., темп роста составил 159%, или больше на 2 711 тыс. руб., по причине увеличения налоговой базы и роста сумм оплаченных авансовых платежей от ИП: Лукьянов Д.Л. +991 тыс. руб., Юткина Н.Н. +671 тыс. руб., Глуменко И.С. +429 тыс. руб.;-  налоги на имущество (земельный налог и налог на имущество физических лиц), в полном объёме поступающие в бюджеты сельских поселений, составили 10,9 млн. руб. Удельный вес данных налогов в отчетном году достиг 7,7% от собственных доходов. По сравнению с 2023 годом поступления увеличились на сумму 541,5 тыс. руб. Увеличение поступлений произошло за счет роста налоговой базы за 2023 год на 28% и погашения задолженности физическими лицами;- доходы от использования имущества, находящегося в муниципальной собственности (аренда земли, аренда имущества), удельный вес которых в сумме собственных доходов составили 12,7%, или 18,1 млн. руб. По сравнению с 2023 годом поступления уменьшилось на 1 млн. 773,3 тыс. рублей, в связи с досрочным погашением арендных платежей в 2023 году </w:t>
      </w:r>
      <w:proofErr w:type="gramStart"/>
      <w:r w:rsidRPr="00C4367F">
        <w:rPr>
          <w:sz w:val="28"/>
          <w:szCs w:val="28"/>
        </w:rPr>
        <w:t>от</w:t>
      </w:r>
      <w:proofErr w:type="gramEnd"/>
      <w:r w:rsidRPr="00C4367F">
        <w:rPr>
          <w:sz w:val="28"/>
          <w:szCs w:val="28"/>
        </w:rPr>
        <w:t>: ООО КХ Зайцев - 1719 тыс. руб.; глава КХ Неклюдов - 245 тыс. руб.; СПК коопхоз Агро - 478 тыс. руб. и др.       Общий объем безвозмездных поступлений включает в себя дотации бюджетам муниципальных образований, полученные в полном объеме от утвержденных бюджетных ассигнований, в сумме 102 млн. руб., субсидии – 133,7 млн. руб., субвенции – 219,9 млн. руб., иные межбюджетные трансферты – 101,5 тыс. руб., а также прочие безвозмездные поступления от негосударственных организаций и от денежных пожертвований, предоставляемых физическими лицами – 225,0 тыс. руб</w:t>
      </w:r>
      <w:proofErr w:type="gramStart"/>
      <w:r w:rsidRPr="00C4367F">
        <w:rPr>
          <w:sz w:val="28"/>
          <w:szCs w:val="28"/>
        </w:rPr>
        <w:t>.Р</w:t>
      </w:r>
      <w:proofErr w:type="gramEnd"/>
      <w:r w:rsidRPr="00C4367F">
        <w:rPr>
          <w:sz w:val="28"/>
          <w:szCs w:val="28"/>
        </w:rPr>
        <w:t>асходы консолидированного бюджета за 2024 год исполнены в сумме 598,8 млн. рублей или 94 % от утвержденного годового плана, кассовое исполнение бюджета по сравнению с 2023 годом возросло на 124,4 млн. руб.Расходы поселений в общем объеме расходов занимают 99,4 млн. руб. или 17% консолидированных расходов бюджета, из них за счет межбюджетных трансфертов, полученных из вышестоящих бюджетов – 80 млн. руб.   Наибольшую долю в общем объеме расходов бюджета составляют расходы на образование - 61% и расходы по обязательствам органов местного самоуправления - 17 %.В структуре денежных расходов значительную часть составляют заработная плата и уплата взносов по обязательному социальному страхованию –  68 % (388 млн. руб.) и коммунальные услуги, уголь   -   6 % (36 млн. руб.).</w:t>
      </w:r>
      <w:r w:rsidR="00DF68EA">
        <w:rPr>
          <w:sz w:val="28"/>
          <w:szCs w:val="28"/>
        </w:rPr>
        <w:t xml:space="preserve"> </w:t>
      </w:r>
      <w:r w:rsidRPr="00C4367F">
        <w:rPr>
          <w:sz w:val="28"/>
          <w:szCs w:val="28"/>
        </w:rPr>
        <w:t xml:space="preserve">Утвержденный бюджет 2024 года сохранил свою социальную направленность.  Продолжается предоставление:- выплат ежемесячного денежного вознаграждения за классное руководство педагогическим работникам общеобразовательных организаций;-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C4367F">
        <w:rPr>
          <w:sz w:val="28"/>
          <w:szCs w:val="28"/>
        </w:rPr>
        <w:lastRenderedPageBreak/>
        <w:t>общеобразовательных организаций;- социальной поддержки населению по оплате коммунальных услуг, в том числе и за твердое топливо, и на приобретение жилья молодым семьям;- единовременных денежных выплат членам семей участников специальной военной операции, погибших в ходе специальной военной операции;- бесплатного горячего питания за счет средств бюджетов всех уровней;- льгот за присмотр и уход за детьми мобилизованных граждан дошкольного образования из средств местного бюджета.   Все запланированные обязательства Тюменцевского района в 2024 году были выполнены.</w:t>
      </w:r>
      <w:r w:rsidR="00DF68EA">
        <w:rPr>
          <w:sz w:val="28"/>
          <w:szCs w:val="28"/>
        </w:rPr>
        <w:t xml:space="preserve"> </w:t>
      </w:r>
      <w:r w:rsidRPr="00C4367F">
        <w:rPr>
          <w:sz w:val="28"/>
          <w:szCs w:val="28"/>
        </w:rPr>
        <w:t>Просроченная задолженность в бюджетных учреждениях района отсутствует</w:t>
      </w:r>
      <w:proofErr w:type="gramStart"/>
      <w:r w:rsidRPr="00C4367F">
        <w:rPr>
          <w:sz w:val="28"/>
          <w:szCs w:val="28"/>
        </w:rPr>
        <w:t>.В</w:t>
      </w:r>
      <w:proofErr w:type="gramEnd"/>
      <w:r w:rsidRPr="00C4367F">
        <w:rPr>
          <w:sz w:val="28"/>
          <w:szCs w:val="28"/>
        </w:rPr>
        <w:t xml:space="preserve"> 2025 году за счет средств всех уровней бюджетов планируется:·        проектирование газовых котельных в рамках мероприятий по газификации Алтайского края;·        проектирование, строительство, реконструкция, капитальный ремонт и ремонт автомобильных дорог общего пользования местного значения;·        реализация инициативных проектов развития (создания) общественной инфраструктуры муниципальных образований</w:t>
      </w:r>
      <w:proofErr w:type="gramStart"/>
      <w:r w:rsidRPr="00C4367F">
        <w:rPr>
          <w:sz w:val="28"/>
          <w:szCs w:val="28"/>
        </w:rPr>
        <w:t>.Т</w:t>
      </w:r>
      <w:proofErr w:type="gramEnd"/>
      <w:r w:rsidRPr="00C4367F">
        <w:rPr>
          <w:sz w:val="28"/>
          <w:szCs w:val="28"/>
        </w:rPr>
        <w:t>емп роста заработной платы работников бюджетной сферы в 2025 году, по сравнению с темпом роста заработной платы на 01.01.2024г. составил по району в среднем 16%. </w:t>
      </w:r>
    </w:p>
    <w:p w:rsidR="00F00C74" w:rsidRPr="008E0719" w:rsidRDefault="00F00C74" w:rsidP="00F00C74">
      <w:pPr>
        <w:ind w:firstLine="709"/>
        <w:jc w:val="both"/>
        <w:divId w:val="1437944105"/>
      </w:pPr>
    </w:p>
    <w:p w:rsidR="0074511A" w:rsidRDefault="0074511A" w:rsidP="00F00C74">
      <w:pPr>
        <w:ind w:firstLine="709"/>
        <w:jc w:val="center"/>
        <w:divId w:val="1904366202"/>
      </w:pPr>
      <w:r>
        <w:rPr>
          <w:rStyle w:val="a3"/>
          <w:sz w:val="28"/>
          <w:szCs w:val="28"/>
        </w:rPr>
        <w:t xml:space="preserve">Жилищно-коммунальное хозяйство </w:t>
      </w:r>
    </w:p>
    <w:p w:rsidR="0074511A" w:rsidRPr="00C4367F" w:rsidRDefault="001F1010" w:rsidP="00F00C74">
      <w:pPr>
        <w:ind w:firstLine="709"/>
        <w:jc w:val="both"/>
        <w:divId w:val="1904366202"/>
        <w:rPr>
          <w:sz w:val="28"/>
          <w:szCs w:val="28"/>
        </w:rPr>
      </w:pPr>
      <w:r w:rsidRPr="00C4367F">
        <w:rPr>
          <w:sz w:val="28"/>
          <w:szCs w:val="28"/>
        </w:rPr>
        <w:t xml:space="preserve">Отрасль жилищно-коммунального хозяйства напрямую связана с повседневными интересами всех граждан и призвана обслуживать материально-бытовые потребности населения. На территории района предоставляют услуги ЖКХ 3 профильных предприятия и 2 </w:t>
      </w:r>
      <w:r w:rsidR="00183728" w:rsidRPr="00C4367F">
        <w:rPr>
          <w:sz w:val="28"/>
          <w:szCs w:val="28"/>
        </w:rPr>
        <w:t>непрофильных. Для</w:t>
      </w:r>
      <w:r w:rsidRPr="00C4367F">
        <w:rPr>
          <w:sz w:val="28"/>
          <w:szCs w:val="28"/>
        </w:rPr>
        <w:t xml:space="preserve"> качественного проведения отопительного сезона 2024-2025 г</w:t>
      </w:r>
      <w:r w:rsidR="00DF68EA">
        <w:rPr>
          <w:sz w:val="28"/>
          <w:szCs w:val="28"/>
        </w:rPr>
        <w:t>.</w:t>
      </w:r>
      <w:r w:rsidRPr="00C4367F">
        <w:rPr>
          <w:sz w:val="28"/>
          <w:szCs w:val="28"/>
        </w:rPr>
        <w:t>г</w:t>
      </w:r>
      <w:r w:rsidR="00DF68EA">
        <w:rPr>
          <w:sz w:val="28"/>
          <w:szCs w:val="28"/>
        </w:rPr>
        <w:t>.</w:t>
      </w:r>
      <w:r w:rsidRPr="00C4367F">
        <w:rPr>
          <w:sz w:val="28"/>
          <w:szCs w:val="28"/>
        </w:rPr>
        <w:t xml:space="preserve"> во </w:t>
      </w:r>
      <w:r w:rsidR="00DF68EA">
        <w:rPr>
          <w:sz w:val="28"/>
          <w:szCs w:val="28"/>
        </w:rPr>
        <w:t>в</w:t>
      </w:r>
      <w:r w:rsidRPr="00C4367F">
        <w:rPr>
          <w:sz w:val="28"/>
          <w:szCs w:val="28"/>
        </w:rPr>
        <w:t>сех котельных района был произведен профилактический ремонт источников теплоснабжения и вспомогательного оборудования.</w:t>
      </w:r>
      <w:r w:rsidR="00DF68EA">
        <w:rPr>
          <w:sz w:val="28"/>
          <w:szCs w:val="28"/>
        </w:rPr>
        <w:t xml:space="preserve"> </w:t>
      </w:r>
      <w:r w:rsidRPr="00C4367F">
        <w:rPr>
          <w:sz w:val="28"/>
          <w:szCs w:val="28"/>
        </w:rPr>
        <w:t xml:space="preserve">Заключены муниципальные контракты на поставку 5 209 тонн угля с «Алтайской топливной компанией» на общую сумму 23,7 рублей. Предпринимаемые Администрацией меры позволили без срывов обеспечить теплом учреждения и население </w:t>
      </w:r>
      <w:r w:rsidR="00DF68EA" w:rsidRPr="00C4367F">
        <w:rPr>
          <w:sz w:val="28"/>
          <w:szCs w:val="28"/>
        </w:rPr>
        <w:t>района. Для</w:t>
      </w:r>
      <w:r w:rsidRPr="00C4367F">
        <w:rPr>
          <w:sz w:val="28"/>
          <w:szCs w:val="28"/>
        </w:rPr>
        <w:t xml:space="preserve"> поддержания систем тепло-, водоснабжения в рабочем состоянии в рамках реализации программы "Обеспечение населения Алтайского края жилищно-коммунальными услугами" за счет сре</w:t>
      </w:r>
      <w:proofErr w:type="gramStart"/>
      <w:r w:rsidRPr="00C4367F">
        <w:rPr>
          <w:sz w:val="28"/>
          <w:szCs w:val="28"/>
        </w:rPr>
        <w:t>дств кр</w:t>
      </w:r>
      <w:proofErr w:type="gramEnd"/>
      <w:r w:rsidRPr="00C4367F">
        <w:rPr>
          <w:sz w:val="28"/>
          <w:szCs w:val="28"/>
        </w:rPr>
        <w:t xml:space="preserve">аевого и местного бюджетов в поселке Заводской был проведен:- капитальный ремонт тепловой сети на сумму 17 млн. рублей, протяженность 2119 м;- капитальный ремонт водопроводной сети на сумму 5,6 млн. рублей, протяженность 1600 </w:t>
      </w:r>
      <w:proofErr w:type="spellStart"/>
      <w:r w:rsidRPr="00C4367F">
        <w:rPr>
          <w:sz w:val="28"/>
          <w:szCs w:val="28"/>
        </w:rPr>
        <w:t>м</w:t>
      </w:r>
      <w:proofErr w:type="gramStart"/>
      <w:r w:rsidRPr="00C4367F">
        <w:rPr>
          <w:sz w:val="28"/>
          <w:szCs w:val="28"/>
        </w:rPr>
        <w:t>;з</w:t>
      </w:r>
      <w:proofErr w:type="gramEnd"/>
      <w:r w:rsidRPr="00C4367F">
        <w:rPr>
          <w:sz w:val="28"/>
          <w:szCs w:val="28"/>
        </w:rPr>
        <w:t>а</w:t>
      </w:r>
      <w:proofErr w:type="spellEnd"/>
      <w:r w:rsidRPr="00C4367F">
        <w:rPr>
          <w:sz w:val="28"/>
          <w:szCs w:val="28"/>
        </w:rPr>
        <w:t xml:space="preserve"> счет средств местного бюджета в селе Вылково заменена 500 метров водопроводной сети по ул. Советская на сумму 1 млн. рубХотелось бы отметить, что в 2024 году активно велись работы по благоустройству и содержанию в чистоте, как районного центра, так и территорий поселений.</w:t>
      </w:r>
    </w:p>
    <w:p w:rsidR="00DF68EA" w:rsidRDefault="00DF68EA" w:rsidP="008E0719">
      <w:pPr>
        <w:spacing w:before="240" w:after="240" w:line="276" w:lineRule="auto"/>
        <w:jc w:val="center"/>
        <w:divId w:val="1972859180"/>
        <w:rPr>
          <w:rStyle w:val="a3"/>
          <w:sz w:val="28"/>
          <w:szCs w:val="28"/>
        </w:rPr>
      </w:pPr>
    </w:p>
    <w:p w:rsidR="0074511A" w:rsidRDefault="0074511A" w:rsidP="008E0719">
      <w:pPr>
        <w:spacing w:before="240" w:after="240" w:line="276" w:lineRule="auto"/>
        <w:jc w:val="center"/>
        <w:divId w:val="1972859180"/>
      </w:pPr>
      <w:r>
        <w:rPr>
          <w:rStyle w:val="a3"/>
          <w:sz w:val="28"/>
          <w:szCs w:val="28"/>
        </w:rPr>
        <w:lastRenderedPageBreak/>
        <w:t xml:space="preserve">Социальная сфера </w:t>
      </w:r>
    </w:p>
    <w:p w:rsidR="00DF68EA" w:rsidRDefault="001F1010" w:rsidP="00DF68EA">
      <w:pPr>
        <w:ind w:firstLine="709"/>
        <w:jc w:val="both"/>
        <w:divId w:val="1972859180"/>
        <w:rPr>
          <w:sz w:val="28"/>
          <w:szCs w:val="28"/>
        </w:rPr>
      </w:pPr>
      <w:r w:rsidRPr="00DF68EA">
        <w:rPr>
          <w:sz w:val="28"/>
          <w:szCs w:val="28"/>
          <w:u w:val="single"/>
        </w:rPr>
        <w:t>Образование:</w:t>
      </w:r>
      <w:r w:rsidRPr="00C4367F">
        <w:rPr>
          <w:sz w:val="28"/>
          <w:szCs w:val="28"/>
          <w:lang w:val="en-US"/>
        </w:rPr>
        <w:t>  </w:t>
      </w:r>
      <w:r w:rsidRPr="00C4367F">
        <w:rPr>
          <w:sz w:val="28"/>
          <w:szCs w:val="28"/>
        </w:rPr>
        <w:t>В основу системы образования Тюменцевского района была положена системная работа, направленная на реализацию национального проекта «Образование». На территории муниципалитета реализовывалось 5 региональных проектов в сфере образования: «Современная школа», «Успех каждого ребенка», «Поддержка семей, имеющих детей», «Цифровая образовательная среда», «Учитель будущего». Также большое внимание уделялось реализации «10 инициатив Губернатора для развития образования Алтайского края»</w:t>
      </w:r>
      <w:proofErr w:type="gramStart"/>
      <w:r w:rsidRPr="00C4367F">
        <w:rPr>
          <w:sz w:val="28"/>
          <w:szCs w:val="28"/>
        </w:rPr>
        <w:t>.В</w:t>
      </w:r>
      <w:proofErr w:type="gramEnd"/>
      <w:r w:rsidRPr="00C4367F">
        <w:rPr>
          <w:sz w:val="28"/>
          <w:szCs w:val="28"/>
        </w:rPr>
        <w:t xml:space="preserve"> 2024 году система образования Тюменцевского района – это 9 юридических лиц (7 школ, 1 детский сад, 1 учреждение дополнительного образования), реализующих образовательные программы дошкольного, начального общего, основного общего, среднего общего и дополнительного образования.</w:t>
      </w:r>
      <w:r w:rsidR="00DF68EA">
        <w:rPr>
          <w:sz w:val="28"/>
          <w:szCs w:val="28"/>
        </w:rPr>
        <w:t xml:space="preserve"> </w:t>
      </w:r>
      <w:r w:rsidRPr="00C4367F">
        <w:rPr>
          <w:sz w:val="28"/>
          <w:szCs w:val="28"/>
        </w:rPr>
        <w:t>В 2024 году в Тюменцевском районе программу дошкольного образования реализовывал 1 детский сад в статусе юридического лица - это Тюменцевский детский сад «Родничок» и 6 общеобразовательных организаций, имеющих структурные подразделения дошкольного образования.</w:t>
      </w:r>
      <w:r w:rsidR="00DF68EA">
        <w:rPr>
          <w:sz w:val="28"/>
          <w:szCs w:val="28"/>
        </w:rPr>
        <w:t xml:space="preserve"> </w:t>
      </w:r>
      <w:r w:rsidRPr="00C4367F">
        <w:rPr>
          <w:sz w:val="28"/>
          <w:szCs w:val="28"/>
        </w:rPr>
        <w:t>В 2024 году на территории Тюменцевского района проживало 475 детей в возрасте от 0 до 7 лет. Услугами дошкольного образования был охвачен 355 воспитанник в возрасте от 1,5 до 7 лет, что составляло 74,7 % от общего количества детей в этом возрастном диапазоне, при этом 72 - это дети в возрасте от 1,5 до 3 лет.7 детей-инвалидов и детей с ОВЗ получали услуги дошкольного образования. Для обеспечения равных возможностей детям в получении дошкольного образования. В Тюменцевском детском саду «Родничок» работала группа компенсирующей направленности для 3 детей с ограниченными возможностями здоровья, проживающих в «Тюменцевском детском психоневрологическом интернате»</w:t>
      </w:r>
      <w:proofErr w:type="gramStart"/>
      <w:r w:rsidRPr="00C4367F">
        <w:rPr>
          <w:sz w:val="28"/>
          <w:szCs w:val="28"/>
        </w:rPr>
        <w:t>.В</w:t>
      </w:r>
      <w:proofErr w:type="gramEnd"/>
      <w:r w:rsidRPr="00C4367F">
        <w:rPr>
          <w:sz w:val="28"/>
          <w:szCs w:val="28"/>
        </w:rPr>
        <w:t xml:space="preserve"> соответствии с Указом Губернатора Алтайского края от 28.10.2022 №167 «О дополнительной социальной поддержке семей граждан, призванных на военную службу» на уровне муниципалитета имелась нормативно-правовая база для семей военнослужащих, принимающих участие в специальной военной операции были установлены муниципальные льготы:</w:t>
      </w:r>
      <w:r w:rsidR="00DF68EA">
        <w:rPr>
          <w:sz w:val="28"/>
          <w:szCs w:val="28"/>
        </w:rPr>
        <w:t xml:space="preserve"> </w:t>
      </w:r>
      <w:r w:rsidRPr="00C4367F">
        <w:rPr>
          <w:sz w:val="28"/>
          <w:szCs w:val="28"/>
        </w:rPr>
        <w:t>внеочередное и первоочередное зачисление детей военнослужащих по достижении ими возраста полутора лет в дошкольные образовательные организации района, реализующие образовательную программу дошкольного образования</w:t>
      </w:r>
      <w:r w:rsidR="00DF68EA">
        <w:rPr>
          <w:sz w:val="28"/>
          <w:szCs w:val="28"/>
        </w:rPr>
        <w:t xml:space="preserve">: </w:t>
      </w:r>
      <w:r w:rsidRPr="00C4367F">
        <w:rPr>
          <w:sz w:val="28"/>
          <w:szCs w:val="28"/>
        </w:rPr>
        <w:t>освобождение от платы за присмотр и уход за детьми, посещающими муниципальные образовательные организации, реализующие образовательную программу дошкольного образования, одним из родителей (законных представителей) которых является военнослужащий</w:t>
      </w:r>
      <w:proofErr w:type="gramStart"/>
      <w:r w:rsidRPr="00C4367F">
        <w:rPr>
          <w:sz w:val="28"/>
          <w:szCs w:val="28"/>
        </w:rPr>
        <w:t>.В</w:t>
      </w:r>
      <w:proofErr w:type="gramEnd"/>
      <w:r w:rsidRPr="00C4367F">
        <w:rPr>
          <w:sz w:val="28"/>
          <w:szCs w:val="28"/>
        </w:rPr>
        <w:t xml:space="preserve"> 2024 году в штате дошкольных образовательных организациях района были заняты 49 педагогов.</w:t>
      </w:r>
      <w:r w:rsidR="00DF68EA">
        <w:rPr>
          <w:sz w:val="28"/>
          <w:szCs w:val="28"/>
        </w:rPr>
        <w:t xml:space="preserve"> </w:t>
      </w:r>
      <w:r w:rsidRPr="00C4367F">
        <w:rPr>
          <w:sz w:val="28"/>
          <w:szCs w:val="28"/>
        </w:rPr>
        <w:t>Средняя заработная плата педагогических работников этих учреждений</w:t>
      </w:r>
      <w:r w:rsidRPr="00C4367F">
        <w:rPr>
          <w:sz w:val="28"/>
          <w:szCs w:val="28"/>
          <w:lang w:val="en-US"/>
        </w:rPr>
        <w:t> </w:t>
      </w:r>
      <w:r w:rsidRPr="00C4367F">
        <w:rPr>
          <w:sz w:val="28"/>
          <w:szCs w:val="28"/>
        </w:rPr>
        <w:t xml:space="preserve"> в 2024 году составила – 34407 тыс. рубля, это 100,3% от целевого показателя.</w:t>
      </w:r>
      <w:r w:rsidR="00DF68EA">
        <w:rPr>
          <w:sz w:val="28"/>
          <w:szCs w:val="28"/>
        </w:rPr>
        <w:t xml:space="preserve"> </w:t>
      </w:r>
      <w:r w:rsidRPr="00C4367F">
        <w:rPr>
          <w:sz w:val="28"/>
          <w:szCs w:val="28"/>
        </w:rPr>
        <w:t xml:space="preserve">На основании </w:t>
      </w:r>
      <w:r w:rsidRPr="00C4367F">
        <w:rPr>
          <w:sz w:val="28"/>
          <w:szCs w:val="28"/>
        </w:rPr>
        <w:lastRenderedPageBreak/>
        <w:t>итогового отчёта в 2024 году удовлетворенность потребности населения в услугах дошкольного образования от 1,6 до 7 лет составляет 100%.Развитие системы общего образования осуществляется в условиях введения федеральных государственных образовательных стандартов.</w:t>
      </w:r>
      <w:r w:rsidR="00DF68EA">
        <w:rPr>
          <w:sz w:val="28"/>
          <w:szCs w:val="28"/>
        </w:rPr>
        <w:t xml:space="preserve"> </w:t>
      </w:r>
      <w:r w:rsidRPr="00C4367F">
        <w:rPr>
          <w:sz w:val="28"/>
          <w:szCs w:val="28"/>
        </w:rPr>
        <w:t>На 1 сентября 2024 года численность обучающихся составила 1389 ребёнка. Всего в школах Тюменцевского района 128 обучающихся с ограниченными возможностями здоровья, с ОВЗ - 79 человек, ОВЗ + инвалид 49 человек, 15 детей-инвалидов, на дому обучается 33 человека.</w:t>
      </w:r>
      <w:r w:rsidR="00DF68EA">
        <w:rPr>
          <w:sz w:val="28"/>
          <w:szCs w:val="28"/>
        </w:rPr>
        <w:t xml:space="preserve"> </w:t>
      </w:r>
      <w:r w:rsidRPr="00C4367F">
        <w:rPr>
          <w:sz w:val="28"/>
          <w:szCs w:val="28"/>
        </w:rPr>
        <w:t>В форме семейного образования в 2024 году обучалось 2 человека, на самообразовании 2 человека. В Тюменцевской средней школе обучалось 11 воспитанников детского дома интерната, из них 8 детей-инвалидов.</w:t>
      </w:r>
      <w:r w:rsidR="00DF68EA">
        <w:rPr>
          <w:sz w:val="28"/>
          <w:szCs w:val="28"/>
        </w:rPr>
        <w:t xml:space="preserve"> </w:t>
      </w:r>
      <w:r w:rsidRPr="00C4367F">
        <w:rPr>
          <w:sz w:val="28"/>
          <w:szCs w:val="28"/>
        </w:rPr>
        <w:t xml:space="preserve">Одним из важных показателей нашей работы является получение документа об образовании выпускниками общеобразовательных организаций по итогам прохождения государственной итоговой </w:t>
      </w:r>
      <w:r w:rsidR="00DF68EA" w:rsidRPr="00C4367F">
        <w:rPr>
          <w:sz w:val="28"/>
          <w:szCs w:val="28"/>
        </w:rPr>
        <w:t>аттестации. В</w:t>
      </w:r>
      <w:r w:rsidRPr="00C4367F">
        <w:rPr>
          <w:sz w:val="28"/>
          <w:szCs w:val="28"/>
        </w:rPr>
        <w:t xml:space="preserve"> 2023 – 2024 учебном году государственная итоговая аттестация проводилась в 1 пункте проведения экзамена, который находился в</w:t>
      </w:r>
      <w:r w:rsidRPr="00C4367F">
        <w:rPr>
          <w:sz w:val="28"/>
          <w:szCs w:val="28"/>
          <w:lang w:val="en-US"/>
        </w:rPr>
        <w:t> </w:t>
      </w:r>
      <w:r w:rsidRPr="00C4367F">
        <w:rPr>
          <w:sz w:val="28"/>
          <w:szCs w:val="28"/>
        </w:rPr>
        <w:t xml:space="preserve"> Тюменцевкой Средней школе. Общее количество выпускников 9 классов -146 человек.</w:t>
      </w:r>
      <w:r w:rsidRPr="00C4367F">
        <w:rPr>
          <w:sz w:val="28"/>
          <w:szCs w:val="28"/>
          <w:lang w:val="en-US"/>
        </w:rPr>
        <w:t>  </w:t>
      </w:r>
      <w:r w:rsidRPr="00C4367F">
        <w:rPr>
          <w:sz w:val="28"/>
          <w:szCs w:val="28"/>
        </w:rPr>
        <w:t xml:space="preserve"> Для участия в ГИА по образовательным программам среднего общего образования было зарегистрировано 22 выпускника 11-х классов, 1 из них был не допущен, так </w:t>
      </w:r>
      <w:proofErr w:type="gramStart"/>
      <w:r w:rsidRPr="00C4367F">
        <w:rPr>
          <w:sz w:val="28"/>
          <w:szCs w:val="28"/>
        </w:rPr>
        <w:t>как</w:t>
      </w:r>
      <w:proofErr w:type="gramEnd"/>
      <w:r w:rsidRPr="00C4367F">
        <w:rPr>
          <w:sz w:val="28"/>
          <w:szCs w:val="28"/>
        </w:rPr>
        <w:t xml:space="preserve"> находясь на самообразовании, не прошёл промежуточную аттестацию по всем предметам учебного плана. Таким образом, успешно сдавали ЕГЭ 21 выпускник. Все выпускники 11-го класса стали обладателями аттестатов о среднем общем образовании. Одна выпускница получила аттестат особого образца и награждена золотой медалью «За особые успехи в учении» </w:t>
      </w:r>
      <w:r w:rsidRPr="00C4367F">
        <w:rPr>
          <w:sz w:val="28"/>
          <w:szCs w:val="28"/>
          <w:lang w:val="en-US"/>
        </w:rPr>
        <w:t>I</w:t>
      </w:r>
      <w:r w:rsidRPr="00C4367F">
        <w:rPr>
          <w:sz w:val="28"/>
          <w:szCs w:val="28"/>
        </w:rPr>
        <w:t xml:space="preserve"> степени. Это ученица Тюменцевской средней школы.</w:t>
      </w:r>
      <w:r w:rsidRPr="00C4367F">
        <w:rPr>
          <w:sz w:val="28"/>
          <w:szCs w:val="28"/>
          <w:lang w:val="en-US"/>
        </w:rPr>
        <w:t>   </w:t>
      </w:r>
      <w:r w:rsidRPr="00C4367F">
        <w:rPr>
          <w:sz w:val="28"/>
          <w:szCs w:val="28"/>
        </w:rPr>
        <w:t>За период проведения ГИА в 2024 году нарушений установленного порядка не выявлено</w:t>
      </w:r>
      <w:proofErr w:type="gramStart"/>
      <w:r w:rsidRPr="00C4367F">
        <w:rPr>
          <w:sz w:val="28"/>
          <w:szCs w:val="28"/>
        </w:rPr>
        <w:t>.У</w:t>
      </w:r>
      <w:proofErr w:type="gramEnd"/>
      <w:r w:rsidRPr="00C4367F">
        <w:rPr>
          <w:sz w:val="28"/>
          <w:szCs w:val="28"/>
        </w:rPr>
        <w:t>же не первый год выпускники 11-х классов показывают хорошие результаты ЕГЭ по русскому языку.</w:t>
      </w:r>
      <w:r w:rsidRPr="00C4367F">
        <w:rPr>
          <w:sz w:val="28"/>
          <w:szCs w:val="28"/>
          <w:lang w:val="en-US"/>
        </w:rPr>
        <w:t> </w:t>
      </w:r>
      <w:r w:rsidRPr="00C4367F">
        <w:rPr>
          <w:sz w:val="28"/>
          <w:szCs w:val="28"/>
        </w:rPr>
        <w:t xml:space="preserve"> Самый высокий балл в районе по русскому языку 94 балла у выпускницы Тюменцевской школы.</w:t>
      </w:r>
      <w:proofErr w:type="gramStart"/>
      <w:r w:rsidRPr="00C4367F">
        <w:rPr>
          <w:sz w:val="28"/>
          <w:szCs w:val="28"/>
          <w:lang w:val="en-US"/>
        </w:rPr>
        <w:t>  </w:t>
      </w:r>
      <w:r w:rsidRPr="00C4367F">
        <w:rPr>
          <w:sz w:val="28"/>
          <w:szCs w:val="28"/>
        </w:rPr>
        <w:t>)</w:t>
      </w:r>
      <w:proofErr w:type="gramEnd"/>
      <w:r w:rsidRPr="00C4367F">
        <w:rPr>
          <w:sz w:val="28"/>
          <w:szCs w:val="28"/>
        </w:rPr>
        <w:t>.</w:t>
      </w:r>
      <w:r w:rsidR="00DF68EA">
        <w:rPr>
          <w:sz w:val="28"/>
          <w:szCs w:val="28"/>
        </w:rPr>
        <w:t xml:space="preserve"> </w:t>
      </w:r>
      <w:r w:rsidRPr="00C4367F">
        <w:rPr>
          <w:sz w:val="28"/>
          <w:szCs w:val="28"/>
        </w:rPr>
        <w:t>С 01.09.2024 г. 100% организовано профильное обучение старшеклассников 10-х и 11-х классов</w:t>
      </w:r>
      <w:r w:rsidRPr="00C4367F">
        <w:rPr>
          <w:sz w:val="28"/>
          <w:szCs w:val="28"/>
          <w:lang w:val="en-US"/>
        </w:rPr>
        <w:t>  </w:t>
      </w:r>
      <w:r w:rsidRPr="00C4367F">
        <w:rPr>
          <w:sz w:val="28"/>
          <w:szCs w:val="28"/>
        </w:rPr>
        <w:t xml:space="preserve"> общеобразовательных организаций Тюменцевского района.</w:t>
      </w:r>
      <w:r w:rsidRPr="00C4367F">
        <w:rPr>
          <w:sz w:val="28"/>
          <w:szCs w:val="28"/>
          <w:lang w:val="en-US"/>
        </w:rPr>
        <w:t> </w:t>
      </w:r>
      <w:r w:rsidRPr="00C4367F">
        <w:rPr>
          <w:sz w:val="28"/>
          <w:szCs w:val="28"/>
        </w:rPr>
        <w:t xml:space="preserve"> Профильное обучение организовано по нескольким направлениям: технологический профиль (на углубленном уровне изучаются предметы – физика и математика), естественно-научный профиль – химия и биология, социально-экономический профиль - обществознание и география; математика и обществознание; обществознание и биология, универсальный профиль - математика и химия; математика и биология). В Тюменцевской средней школе созданы 2 психолого-педагогических класса (10,11 </w:t>
      </w:r>
      <w:proofErr w:type="spellStart"/>
      <w:r w:rsidRPr="00C4367F">
        <w:rPr>
          <w:sz w:val="28"/>
          <w:szCs w:val="28"/>
        </w:rPr>
        <w:t>кл</w:t>
      </w:r>
      <w:proofErr w:type="spellEnd"/>
      <w:r w:rsidRPr="00C4367F">
        <w:rPr>
          <w:sz w:val="28"/>
          <w:szCs w:val="28"/>
        </w:rPr>
        <w:t>.)</w:t>
      </w:r>
      <w:proofErr w:type="gramStart"/>
      <w:r w:rsidRPr="00C4367F">
        <w:rPr>
          <w:sz w:val="28"/>
          <w:szCs w:val="28"/>
        </w:rPr>
        <w:t>.В</w:t>
      </w:r>
      <w:proofErr w:type="gramEnd"/>
      <w:r w:rsidRPr="00C4367F">
        <w:rPr>
          <w:sz w:val="28"/>
          <w:szCs w:val="28"/>
        </w:rPr>
        <w:t xml:space="preserve"> проекте «Образование» регионального проекта: «Современная школа», по созданию и функционированию в общеобразовательных организациях, расположенных в сельской местности</w:t>
      </w:r>
      <w:r w:rsidRPr="00C4367F">
        <w:rPr>
          <w:sz w:val="28"/>
          <w:szCs w:val="28"/>
          <w:lang w:val="en-US"/>
        </w:rPr>
        <w:t>  </w:t>
      </w:r>
      <w:r w:rsidRPr="00C4367F">
        <w:rPr>
          <w:sz w:val="28"/>
          <w:szCs w:val="28"/>
        </w:rPr>
        <w:t xml:space="preserve"> и городах Алтайского края 2 сентября 2024 года открылись центры образования </w:t>
      </w:r>
      <w:proofErr w:type="gramStart"/>
      <w:r w:rsidRPr="00C4367F">
        <w:rPr>
          <w:sz w:val="28"/>
          <w:szCs w:val="28"/>
        </w:rPr>
        <w:t>естественно-научной</w:t>
      </w:r>
      <w:proofErr w:type="gramEnd"/>
      <w:r w:rsidRPr="00C4367F">
        <w:rPr>
          <w:sz w:val="28"/>
          <w:szCs w:val="28"/>
        </w:rPr>
        <w:t xml:space="preserve"> и технологической направленности «Точка роста» на базе Юдихинской и </w:t>
      </w:r>
      <w:r w:rsidRPr="00C4367F">
        <w:rPr>
          <w:sz w:val="28"/>
          <w:szCs w:val="28"/>
        </w:rPr>
        <w:lastRenderedPageBreak/>
        <w:t xml:space="preserve">Ключевской школ. Все открывшиеся центры «Точка роста» на территории </w:t>
      </w:r>
      <w:proofErr w:type="spellStart"/>
      <w:r w:rsidRPr="00C4367F">
        <w:rPr>
          <w:sz w:val="28"/>
          <w:szCs w:val="28"/>
        </w:rPr>
        <w:t>Тюменцевского</w:t>
      </w:r>
      <w:proofErr w:type="spellEnd"/>
      <w:r w:rsidRPr="00C4367F">
        <w:rPr>
          <w:sz w:val="28"/>
          <w:szCs w:val="28"/>
        </w:rPr>
        <w:t xml:space="preserve"> района (</w:t>
      </w:r>
      <w:proofErr w:type="spellStart"/>
      <w:r w:rsidRPr="00C4367F">
        <w:rPr>
          <w:sz w:val="28"/>
          <w:szCs w:val="28"/>
        </w:rPr>
        <w:t>Вылковской</w:t>
      </w:r>
      <w:proofErr w:type="spellEnd"/>
      <w:r w:rsidRPr="00C4367F">
        <w:rPr>
          <w:sz w:val="28"/>
          <w:szCs w:val="28"/>
        </w:rPr>
        <w:t xml:space="preserve">, </w:t>
      </w:r>
      <w:proofErr w:type="spellStart"/>
      <w:r w:rsidRPr="00C4367F">
        <w:rPr>
          <w:sz w:val="28"/>
          <w:szCs w:val="28"/>
        </w:rPr>
        <w:t>Тюменцевской</w:t>
      </w:r>
      <w:proofErr w:type="spellEnd"/>
      <w:r w:rsidRPr="00C4367F">
        <w:rPr>
          <w:sz w:val="28"/>
          <w:szCs w:val="28"/>
        </w:rPr>
        <w:t xml:space="preserve">, </w:t>
      </w:r>
      <w:proofErr w:type="spellStart"/>
      <w:r w:rsidRPr="00C4367F">
        <w:rPr>
          <w:sz w:val="28"/>
          <w:szCs w:val="28"/>
        </w:rPr>
        <w:t>Шарчинской</w:t>
      </w:r>
      <w:proofErr w:type="spellEnd"/>
      <w:r w:rsidRPr="00C4367F">
        <w:rPr>
          <w:sz w:val="28"/>
          <w:szCs w:val="28"/>
        </w:rPr>
        <w:t xml:space="preserve">, </w:t>
      </w:r>
      <w:proofErr w:type="spellStart"/>
      <w:r w:rsidRPr="00C4367F">
        <w:rPr>
          <w:sz w:val="28"/>
          <w:szCs w:val="28"/>
        </w:rPr>
        <w:t>Грязновской</w:t>
      </w:r>
      <w:proofErr w:type="spellEnd"/>
      <w:r w:rsidRPr="00C4367F">
        <w:rPr>
          <w:sz w:val="28"/>
          <w:szCs w:val="28"/>
        </w:rPr>
        <w:t xml:space="preserve">, </w:t>
      </w:r>
      <w:proofErr w:type="spellStart"/>
      <w:r w:rsidRPr="00C4367F">
        <w:rPr>
          <w:sz w:val="28"/>
          <w:szCs w:val="28"/>
        </w:rPr>
        <w:t>Юдихинской</w:t>
      </w:r>
      <w:proofErr w:type="spellEnd"/>
      <w:r w:rsidRPr="00C4367F">
        <w:rPr>
          <w:sz w:val="28"/>
          <w:szCs w:val="28"/>
        </w:rPr>
        <w:t xml:space="preserve">, Ключевской школ) обеспечены современным оборудованием для реализации основных и дополнительных общеобразовательных программ. В центрах «Точка роста» реализуются образовательные программы по биологии, химии, физике, информатике, а также программы дополнительного образования. Новейшее оборудование позволяет школьникам заниматься проектной и исследовательской деятельностью, реализовывать свои инженерные и конструкторские идеи, готовиться к олимпиадам и итоговым экзаменам. У наших учеников появилась возможность получать знания, которые соответствуют современным реалиям, проявлять свои способности и таланты в </w:t>
      </w:r>
      <w:proofErr w:type="spellStart"/>
      <w:proofErr w:type="gramStart"/>
      <w:r w:rsidRPr="00C4367F">
        <w:rPr>
          <w:sz w:val="28"/>
          <w:szCs w:val="28"/>
        </w:rPr>
        <w:t>естественно-научном</w:t>
      </w:r>
      <w:proofErr w:type="spellEnd"/>
      <w:proofErr w:type="gramEnd"/>
      <w:r w:rsidRPr="00C4367F">
        <w:rPr>
          <w:sz w:val="28"/>
          <w:szCs w:val="28"/>
        </w:rPr>
        <w:t xml:space="preserve"> направлении. В центрах «Точка роста» учащиеся работают на новых современных компьютерах, 3</w:t>
      </w:r>
      <w:r w:rsidRPr="00C4367F">
        <w:rPr>
          <w:sz w:val="28"/>
          <w:szCs w:val="28"/>
          <w:lang w:val="en-US"/>
        </w:rPr>
        <w:t>D</w:t>
      </w:r>
      <w:r w:rsidRPr="00C4367F">
        <w:rPr>
          <w:sz w:val="28"/>
          <w:szCs w:val="28"/>
        </w:rPr>
        <w:t xml:space="preserve">-принтерах, осваивают шлемы виртуальной реальности. Также школьники посещают различные кружки, учатся играть в шахматы, создавать свой собственный </w:t>
      </w:r>
      <w:proofErr w:type="spellStart"/>
      <w:r w:rsidRPr="00C4367F">
        <w:rPr>
          <w:sz w:val="28"/>
          <w:szCs w:val="28"/>
        </w:rPr>
        <w:t>медиапродукт</w:t>
      </w:r>
      <w:proofErr w:type="spellEnd"/>
      <w:r w:rsidRPr="00C4367F">
        <w:rPr>
          <w:sz w:val="28"/>
          <w:szCs w:val="28"/>
        </w:rPr>
        <w:t>. Все работники центров прошли курсы повышения квалификации. Создание «Точек роста» позволило увеличить до 100</w:t>
      </w:r>
      <w:r w:rsidRPr="00C4367F">
        <w:rPr>
          <w:sz w:val="28"/>
          <w:szCs w:val="28"/>
          <w:lang w:val="en-US"/>
        </w:rPr>
        <w:t> </w:t>
      </w:r>
      <w:r w:rsidRPr="00C4367F">
        <w:rPr>
          <w:sz w:val="28"/>
          <w:szCs w:val="28"/>
        </w:rPr>
        <w:t xml:space="preserve">% долю школ, использующих сетевые формы реализации образовательных </w:t>
      </w:r>
      <w:proofErr w:type="spellStart"/>
      <w:r w:rsidRPr="00C4367F">
        <w:rPr>
          <w:sz w:val="28"/>
          <w:szCs w:val="28"/>
        </w:rPr>
        <w:t>программ</w:t>
      </w:r>
      <w:proofErr w:type="gramStart"/>
      <w:r w:rsidRPr="00C4367F">
        <w:rPr>
          <w:sz w:val="28"/>
          <w:szCs w:val="28"/>
        </w:rPr>
        <w:t>.В</w:t>
      </w:r>
      <w:proofErr w:type="spellEnd"/>
      <w:proofErr w:type="gramEnd"/>
      <w:r w:rsidRPr="00C4367F">
        <w:rPr>
          <w:sz w:val="28"/>
          <w:szCs w:val="28"/>
        </w:rPr>
        <w:t xml:space="preserve"> 2024 году в районе работала территориальная </w:t>
      </w:r>
      <w:proofErr w:type="spellStart"/>
      <w:r w:rsidRPr="00C4367F">
        <w:rPr>
          <w:sz w:val="28"/>
          <w:szCs w:val="28"/>
        </w:rPr>
        <w:t>психолого-медико-педагогическая</w:t>
      </w:r>
      <w:proofErr w:type="spellEnd"/>
      <w:r w:rsidRPr="00C4367F">
        <w:rPr>
          <w:sz w:val="28"/>
          <w:szCs w:val="28"/>
        </w:rPr>
        <w:t xml:space="preserve"> комиссия, которая позволила обследовать 35 обучающихся с трудностями освоения образовательных программ и дала рекомендации педагогам и родителям на дальнейшую работу с этой категорией детей.</w:t>
      </w:r>
      <w:r w:rsidR="00DF68EA">
        <w:rPr>
          <w:sz w:val="28"/>
          <w:szCs w:val="28"/>
        </w:rPr>
        <w:t xml:space="preserve"> </w:t>
      </w:r>
      <w:r w:rsidRPr="00C4367F">
        <w:rPr>
          <w:sz w:val="28"/>
          <w:szCs w:val="28"/>
        </w:rPr>
        <w:t>К 1 сентября 2024 год на пополнение фондов библиотек образовательных организаций из краевого бюджета было выделено 2260060 руб., из муниципального бюджета 268546 руб., что позволило пополнить школьные библиотеки новой учебной литературой.</w:t>
      </w:r>
      <w:r w:rsidR="00DF68EA">
        <w:rPr>
          <w:sz w:val="28"/>
          <w:szCs w:val="28"/>
        </w:rPr>
        <w:t xml:space="preserve"> </w:t>
      </w:r>
      <w:r w:rsidRPr="00C4367F">
        <w:rPr>
          <w:sz w:val="28"/>
          <w:szCs w:val="28"/>
        </w:rPr>
        <w:t>В соответствии со ст. 40 Федерального закона №273-ФЗ ежедневно на занятия в общеобразовательные организации подвозилось 65 учеников по 7 школьным маршрутам из 7 населенных пунктов пятью общеобразовательными организациями.</w:t>
      </w:r>
      <w:r w:rsidR="00DF68EA">
        <w:rPr>
          <w:sz w:val="28"/>
          <w:szCs w:val="28"/>
        </w:rPr>
        <w:t xml:space="preserve"> </w:t>
      </w:r>
      <w:r w:rsidRPr="00C4367F">
        <w:rPr>
          <w:sz w:val="28"/>
          <w:szCs w:val="28"/>
        </w:rPr>
        <w:t>Осенью 2024 года открыты 2 школьных маршрута в с</w:t>
      </w:r>
      <w:proofErr w:type="gramStart"/>
      <w:r w:rsidRPr="00C4367F">
        <w:rPr>
          <w:sz w:val="28"/>
          <w:szCs w:val="28"/>
        </w:rPr>
        <w:t>.Т</w:t>
      </w:r>
      <w:proofErr w:type="gramEnd"/>
      <w:r w:rsidRPr="00C4367F">
        <w:rPr>
          <w:sz w:val="28"/>
          <w:szCs w:val="28"/>
        </w:rPr>
        <w:t>юменцево.</w:t>
      </w:r>
      <w:r w:rsidRPr="00C4367F">
        <w:rPr>
          <w:sz w:val="28"/>
          <w:szCs w:val="28"/>
          <w:lang w:val="en-US"/>
        </w:rPr>
        <w:t> </w:t>
      </w:r>
      <w:r w:rsidRPr="00C4367F">
        <w:rPr>
          <w:sz w:val="28"/>
          <w:szCs w:val="28"/>
        </w:rPr>
        <w:t xml:space="preserve">В общеобразовательных организациях, осуществляющих подвоз детей, на постоянном контроле находилась безопасность при организации перевозок школьными автобусами, специализированное техническое обслуживание автобусов проводилось </w:t>
      </w:r>
      <w:proofErr w:type="spellStart"/>
      <w:r w:rsidRPr="00C4367F">
        <w:rPr>
          <w:sz w:val="28"/>
          <w:szCs w:val="28"/>
        </w:rPr>
        <w:t>регулярно</w:t>
      </w:r>
      <w:proofErr w:type="gramStart"/>
      <w:r w:rsidRPr="00C4367F">
        <w:rPr>
          <w:sz w:val="28"/>
          <w:szCs w:val="28"/>
        </w:rPr>
        <w:t>.Ч</w:t>
      </w:r>
      <w:proofErr w:type="gramEnd"/>
      <w:r w:rsidRPr="00C4367F">
        <w:rPr>
          <w:sz w:val="28"/>
          <w:szCs w:val="28"/>
        </w:rPr>
        <w:t>исленность</w:t>
      </w:r>
      <w:proofErr w:type="spellEnd"/>
      <w:r w:rsidRPr="00C4367F">
        <w:rPr>
          <w:sz w:val="28"/>
          <w:szCs w:val="28"/>
        </w:rPr>
        <w:t xml:space="preserve"> педагогических работников в 2024 году в образовательных организациях </w:t>
      </w:r>
      <w:proofErr w:type="spellStart"/>
      <w:r w:rsidRPr="00C4367F">
        <w:rPr>
          <w:sz w:val="28"/>
          <w:szCs w:val="28"/>
        </w:rPr>
        <w:t>Тюменцевского</w:t>
      </w:r>
      <w:proofErr w:type="spellEnd"/>
      <w:r w:rsidRPr="00C4367F">
        <w:rPr>
          <w:sz w:val="28"/>
          <w:szCs w:val="28"/>
        </w:rPr>
        <w:t xml:space="preserve"> района составляла 212 человек.</w:t>
      </w:r>
      <w:r w:rsidR="00DF68EA">
        <w:rPr>
          <w:sz w:val="28"/>
          <w:szCs w:val="28"/>
        </w:rPr>
        <w:t xml:space="preserve"> </w:t>
      </w:r>
      <w:r w:rsidRPr="00C4367F">
        <w:rPr>
          <w:sz w:val="28"/>
          <w:szCs w:val="28"/>
        </w:rPr>
        <w:t>В 2024 году</w:t>
      </w:r>
      <w:r w:rsidRPr="00C4367F">
        <w:rPr>
          <w:sz w:val="28"/>
          <w:szCs w:val="28"/>
          <w:lang w:val="en-US"/>
        </w:rPr>
        <w:t> </w:t>
      </w:r>
      <w:r w:rsidRPr="00C4367F">
        <w:rPr>
          <w:sz w:val="28"/>
          <w:szCs w:val="28"/>
        </w:rPr>
        <w:t xml:space="preserve"> Тюменцевский районный центр детского творчества реализовывал дополнительные общеобразовательные </w:t>
      </w:r>
      <w:proofErr w:type="spellStart"/>
      <w:r w:rsidRPr="00C4367F">
        <w:rPr>
          <w:sz w:val="28"/>
          <w:szCs w:val="28"/>
        </w:rPr>
        <w:t>общеразвивающие</w:t>
      </w:r>
      <w:proofErr w:type="spellEnd"/>
      <w:r w:rsidRPr="00C4367F">
        <w:rPr>
          <w:sz w:val="28"/>
          <w:szCs w:val="28"/>
        </w:rPr>
        <w:t xml:space="preserve"> программы в рамках персонифицированного финансирования.</w:t>
      </w:r>
      <w:r w:rsidRPr="00C4367F">
        <w:rPr>
          <w:sz w:val="28"/>
          <w:szCs w:val="28"/>
          <w:lang w:val="en-US"/>
        </w:rPr>
        <w:t> </w:t>
      </w:r>
      <w:r w:rsidRPr="00C4367F">
        <w:rPr>
          <w:sz w:val="28"/>
          <w:szCs w:val="28"/>
        </w:rPr>
        <w:t>Количество охваченных детей доп. образованием на 31.12.2024 – 1320 чел. (77,6%).</w:t>
      </w:r>
      <w:r w:rsidR="00DF68EA">
        <w:rPr>
          <w:sz w:val="28"/>
          <w:szCs w:val="28"/>
        </w:rPr>
        <w:t xml:space="preserve"> </w:t>
      </w:r>
      <w:r w:rsidRPr="00C4367F">
        <w:rPr>
          <w:sz w:val="28"/>
          <w:szCs w:val="28"/>
        </w:rPr>
        <w:t xml:space="preserve">На базе 7 образовательных организаций активно велась работа волонтерскими отрядами по разным направлениям, в том числе оказание помощи участникам СВО, Юнармия, Движение первых. В школах района работает совет профилактики, службы </w:t>
      </w:r>
      <w:r w:rsidRPr="00C4367F">
        <w:rPr>
          <w:sz w:val="28"/>
          <w:szCs w:val="28"/>
        </w:rPr>
        <w:lastRenderedPageBreak/>
        <w:t>примирения, службы медиации, штаб воспитательной работы.</w:t>
      </w:r>
      <w:r w:rsidRPr="00C4367F">
        <w:rPr>
          <w:sz w:val="28"/>
          <w:szCs w:val="28"/>
          <w:lang w:val="en-US"/>
        </w:rPr>
        <w:t>        </w:t>
      </w:r>
      <w:r w:rsidRPr="00C4367F">
        <w:rPr>
          <w:sz w:val="28"/>
          <w:szCs w:val="28"/>
        </w:rPr>
        <w:t xml:space="preserve"> </w:t>
      </w:r>
      <w:r w:rsidRPr="00C4367F">
        <w:rPr>
          <w:sz w:val="28"/>
          <w:szCs w:val="28"/>
          <w:lang w:val="en-US"/>
        </w:rPr>
        <w:t> </w:t>
      </w:r>
      <w:r w:rsidRPr="00C4367F">
        <w:rPr>
          <w:sz w:val="28"/>
          <w:szCs w:val="28"/>
        </w:rPr>
        <w:t xml:space="preserve">На базе ЦДТ был создан социальный театр для детей, находящихся в социально-опасном положении. Во всех ОО функционируют школьные </w:t>
      </w:r>
      <w:proofErr w:type="spellStart"/>
      <w:r w:rsidRPr="00C4367F">
        <w:rPr>
          <w:sz w:val="28"/>
          <w:szCs w:val="28"/>
        </w:rPr>
        <w:t>театры</w:t>
      </w:r>
      <w:proofErr w:type="gramStart"/>
      <w:r w:rsidRPr="00C4367F">
        <w:rPr>
          <w:sz w:val="28"/>
          <w:szCs w:val="28"/>
        </w:rPr>
        <w:t>.В</w:t>
      </w:r>
      <w:proofErr w:type="spellEnd"/>
      <w:proofErr w:type="gramEnd"/>
      <w:r w:rsidRPr="00C4367F">
        <w:rPr>
          <w:sz w:val="28"/>
          <w:szCs w:val="28"/>
        </w:rPr>
        <w:t xml:space="preserve"> 2024 году в школах Тюменцевского района работало 129 классных руководителей, которые получали ежемесячное денежное вознаграждение педагогическим работникам муниципальных общеобразовательных организаций за классное руководство в размере не менее 10 тысяч рублей за счет средств федерального бюджета.</w:t>
      </w:r>
      <w:r w:rsidRPr="00C4367F">
        <w:rPr>
          <w:sz w:val="28"/>
          <w:szCs w:val="28"/>
          <w:lang w:val="en-US"/>
        </w:rPr>
        <w:t>  </w:t>
      </w:r>
      <w:r w:rsidRPr="00C4367F">
        <w:rPr>
          <w:sz w:val="28"/>
          <w:szCs w:val="28"/>
        </w:rPr>
        <w:t xml:space="preserve">В соответствии с муниципальной программой «Сохранение и развитие системы летнего отдыха, оздоровления, занятости детей и подростков в </w:t>
      </w:r>
      <w:proofErr w:type="spellStart"/>
      <w:r w:rsidRPr="00C4367F">
        <w:rPr>
          <w:sz w:val="28"/>
          <w:szCs w:val="28"/>
        </w:rPr>
        <w:t>Тюменцевском</w:t>
      </w:r>
      <w:proofErr w:type="spellEnd"/>
      <w:r w:rsidRPr="00C4367F">
        <w:rPr>
          <w:sz w:val="28"/>
          <w:szCs w:val="28"/>
        </w:rPr>
        <w:t xml:space="preserve"> районе на 2024 - 2028 годы» летом 2024 года на территории муниципального образования были открыты 13 профильных лагерей, в них было занято 450 детей (дети, находящиеся в трудной жизненной ситуации) и 1 загородный лагерь «Чайка», где за 3 смены отдыха и досуга отдохнули 345 (2023 год – 315) школьников, из них 150 (2023 год – 131) детей муниципального образования. 7 школьников стали участниками краевых профильных смен, 27 - муниципальной профильной смены (учебно-полевые сборы).</w:t>
      </w:r>
      <w:r w:rsidRPr="00C4367F">
        <w:rPr>
          <w:sz w:val="28"/>
          <w:szCs w:val="28"/>
          <w:lang w:val="en-US"/>
        </w:rPr>
        <w:t> </w:t>
      </w:r>
      <w:r w:rsidRPr="00C4367F">
        <w:rPr>
          <w:sz w:val="28"/>
          <w:szCs w:val="28"/>
        </w:rPr>
        <w:t xml:space="preserve"> При школах работали 13 </w:t>
      </w:r>
      <w:proofErr w:type="spellStart"/>
      <w:r w:rsidRPr="00C4367F">
        <w:rPr>
          <w:sz w:val="28"/>
          <w:szCs w:val="28"/>
        </w:rPr>
        <w:t>досуговых</w:t>
      </w:r>
      <w:proofErr w:type="spellEnd"/>
      <w:r w:rsidRPr="00C4367F">
        <w:rPr>
          <w:sz w:val="28"/>
          <w:szCs w:val="28"/>
        </w:rPr>
        <w:t xml:space="preserve"> площадок, использовались </w:t>
      </w:r>
      <w:proofErr w:type="spellStart"/>
      <w:r w:rsidRPr="00C4367F">
        <w:rPr>
          <w:sz w:val="28"/>
          <w:szCs w:val="28"/>
        </w:rPr>
        <w:t>малозатратные</w:t>
      </w:r>
      <w:proofErr w:type="spellEnd"/>
      <w:r w:rsidRPr="00C4367F">
        <w:rPr>
          <w:sz w:val="28"/>
          <w:szCs w:val="28"/>
        </w:rPr>
        <w:t xml:space="preserve"> формы отдыха: походы, экскурсии, </w:t>
      </w:r>
      <w:proofErr w:type="spellStart"/>
      <w:r w:rsidRPr="00C4367F">
        <w:rPr>
          <w:sz w:val="28"/>
          <w:szCs w:val="28"/>
        </w:rPr>
        <w:t>поездки</w:t>
      </w:r>
      <w:proofErr w:type="gramStart"/>
      <w:r w:rsidRPr="00C4367F">
        <w:rPr>
          <w:sz w:val="28"/>
          <w:szCs w:val="28"/>
        </w:rPr>
        <w:t>.В</w:t>
      </w:r>
      <w:proofErr w:type="spellEnd"/>
      <w:proofErr w:type="gramEnd"/>
      <w:r w:rsidRPr="00C4367F">
        <w:rPr>
          <w:sz w:val="28"/>
          <w:szCs w:val="28"/>
        </w:rPr>
        <w:t xml:space="preserve"> летний период 1142 (2023 год – 957) школьников работали на пришкольных участках, через центр занятости трудоустроено 70 (2023 год – 81) </w:t>
      </w:r>
      <w:proofErr w:type="spellStart"/>
      <w:r w:rsidRPr="00C4367F">
        <w:rPr>
          <w:sz w:val="28"/>
          <w:szCs w:val="28"/>
        </w:rPr>
        <w:t>несовершеннолетних.По</w:t>
      </w:r>
      <w:proofErr w:type="spellEnd"/>
      <w:r w:rsidRPr="00C4367F">
        <w:rPr>
          <w:sz w:val="28"/>
          <w:szCs w:val="28"/>
        </w:rPr>
        <w:t xml:space="preserve"> итогам летней оздоровительной кампании 2024 года отдохнувших и оздоровленных детей 1-10 классов муниципального образования составил – 66,9 % (2023 год - 66,5%)</w:t>
      </w:r>
      <w:proofErr w:type="gramStart"/>
      <w:r w:rsidRPr="00C4367F">
        <w:rPr>
          <w:sz w:val="28"/>
          <w:szCs w:val="28"/>
        </w:rPr>
        <w:t xml:space="preserve">.Общий объем средств из различных источников, выделенных на летнюю оздоровительную кампания 2024 года, составил – 4715,6 (2023 год - 5028,91) тыс. рублей, из них 1558,15 (2023 год - 1174,51) тыс. рублей – средства муниципального бюджета (472,5 тыс. рублей – питание детей в профильных лагерях, 927,55 тыс. рублей – </w:t>
      </w:r>
      <w:proofErr w:type="spellStart"/>
      <w:r w:rsidRPr="00C4367F">
        <w:rPr>
          <w:sz w:val="28"/>
          <w:szCs w:val="28"/>
        </w:rPr>
        <w:t>софинансирование</w:t>
      </w:r>
      <w:proofErr w:type="spellEnd"/>
      <w:r w:rsidRPr="00C4367F">
        <w:rPr>
          <w:sz w:val="28"/>
          <w:szCs w:val="28"/>
        </w:rPr>
        <w:t xml:space="preserve"> стоимости путевки жителям Тюменцевского района, направивших своих детей в муниципальный лагерь (по 7050,0 руб.), и детям участников</w:t>
      </w:r>
      <w:proofErr w:type="gramEnd"/>
      <w:r w:rsidRPr="00C4367F">
        <w:rPr>
          <w:sz w:val="28"/>
          <w:szCs w:val="28"/>
        </w:rPr>
        <w:t xml:space="preserve"> СВО (дополнительно 12050 руб.). Поэтому 5 детей участников СВО отдохнули в нашем загородном лагере летом 2024 года </w:t>
      </w:r>
      <w:proofErr w:type="spellStart"/>
      <w:r w:rsidRPr="00C4367F">
        <w:rPr>
          <w:sz w:val="28"/>
          <w:szCs w:val="28"/>
        </w:rPr>
        <w:t>бесплатно</w:t>
      </w:r>
      <w:proofErr w:type="gramStart"/>
      <w:r w:rsidRPr="00C4367F">
        <w:rPr>
          <w:sz w:val="28"/>
          <w:szCs w:val="28"/>
        </w:rPr>
        <w:t>.Б</w:t>
      </w:r>
      <w:proofErr w:type="gramEnd"/>
      <w:r w:rsidRPr="00C4367F">
        <w:rPr>
          <w:sz w:val="28"/>
          <w:szCs w:val="28"/>
        </w:rPr>
        <w:t>лагодаря</w:t>
      </w:r>
      <w:proofErr w:type="spellEnd"/>
      <w:r w:rsidRPr="00C4367F">
        <w:rPr>
          <w:sz w:val="28"/>
          <w:szCs w:val="28"/>
        </w:rPr>
        <w:t xml:space="preserve"> слаженной работы всех сотрудников лагеря во главе с директором популярность загородного лагеря не снижается. Летом 2024 года в нем отдыхали дети городов Барнаула, Камня-на-Оби, Новоалтайска, школьники Каменского, </w:t>
      </w:r>
      <w:proofErr w:type="spellStart"/>
      <w:r w:rsidRPr="00C4367F">
        <w:rPr>
          <w:sz w:val="28"/>
          <w:szCs w:val="28"/>
        </w:rPr>
        <w:t>Шелаболихинского</w:t>
      </w:r>
      <w:proofErr w:type="spellEnd"/>
      <w:r w:rsidRPr="00C4367F">
        <w:rPr>
          <w:sz w:val="28"/>
          <w:szCs w:val="28"/>
        </w:rPr>
        <w:t xml:space="preserve">, </w:t>
      </w:r>
      <w:proofErr w:type="spellStart"/>
      <w:r w:rsidRPr="00C4367F">
        <w:rPr>
          <w:sz w:val="28"/>
          <w:szCs w:val="28"/>
        </w:rPr>
        <w:t>Крутихинского</w:t>
      </w:r>
      <w:proofErr w:type="spellEnd"/>
      <w:r w:rsidRPr="00C4367F">
        <w:rPr>
          <w:sz w:val="28"/>
          <w:szCs w:val="28"/>
        </w:rPr>
        <w:t xml:space="preserve">, </w:t>
      </w:r>
      <w:proofErr w:type="spellStart"/>
      <w:r w:rsidRPr="00C4367F">
        <w:rPr>
          <w:sz w:val="28"/>
          <w:szCs w:val="28"/>
        </w:rPr>
        <w:t>Панкрушихинского</w:t>
      </w:r>
      <w:proofErr w:type="spellEnd"/>
      <w:r w:rsidRPr="00C4367F">
        <w:rPr>
          <w:sz w:val="28"/>
          <w:szCs w:val="28"/>
        </w:rPr>
        <w:t xml:space="preserve">, Благовещенского </w:t>
      </w:r>
      <w:proofErr w:type="spellStart"/>
      <w:r w:rsidRPr="00C4367F">
        <w:rPr>
          <w:sz w:val="28"/>
          <w:szCs w:val="28"/>
        </w:rPr>
        <w:t>Ребрихинского</w:t>
      </w:r>
      <w:proofErr w:type="spellEnd"/>
      <w:r w:rsidRPr="00C4367F">
        <w:rPr>
          <w:sz w:val="28"/>
          <w:szCs w:val="28"/>
        </w:rPr>
        <w:t xml:space="preserve"> и Первомайского районов Алтайского </w:t>
      </w:r>
      <w:proofErr w:type="spellStart"/>
      <w:r w:rsidRPr="00C4367F">
        <w:rPr>
          <w:sz w:val="28"/>
          <w:szCs w:val="28"/>
        </w:rPr>
        <w:t>края</w:t>
      </w:r>
      <w:proofErr w:type="gramStart"/>
      <w:r w:rsidRPr="00C4367F">
        <w:rPr>
          <w:sz w:val="28"/>
          <w:szCs w:val="28"/>
        </w:rPr>
        <w:t>.Л</w:t>
      </w:r>
      <w:proofErr w:type="gramEnd"/>
      <w:r w:rsidRPr="00C4367F">
        <w:rPr>
          <w:sz w:val="28"/>
          <w:szCs w:val="28"/>
        </w:rPr>
        <w:t>етом</w:t>
      </w:r>
      <w:proofErr w:type="spellEnd"/>
      <w:r w:rsidRPr="00C4367F">
        <w:rPr>
          <w:sz w:val="28"/>
          <w:szCs w:val="28"/>
        </w:rPr>
        <w:t xml:space="preserve"> 2024 года проведена большая работа по укреплению материально-технической базы муниципального загородного лагеря.</w:t>
      </w:r>
      <w:r w:rsidRPr="00C4367F">
        <w:rPr>
          <w:sz w:val="28"/>
          <w:szCs w:val="28"/>
          <w:lang w:val="en-US"/>
        </w:rPr>
        <w:t> </w:t>
      </w:r>
      <w:r w:rsidRPr="00C4367F">
        <w:rPr>
          <w:sz w:val="28"/>
          <w:szCs w:val="28"/>
        </w:rPr>
        <w:t xml:space="preserve"> В лагере построен летний клуб, проведена замена автоматической пожарной сигнализации. Общий объем потраченных средств составил более 1,8 млн. рублей.</w:t>
      </w:r>
      <w:r w:rsidR="00DF68EA">
        <w:rPr>
          <w:sz w:val="28"/>
          <w:szCs w:val="28"/>
        </w:rPr>
        <w:t xml:space="preserve"> </w:t>
      </w:r>
      <w:r w:rsidRPr="00C4367F">
        <w:rPr>
          <w:sz w:val="28"/>
          <w:szCs w:val="28"/>
        </w:rPr>
        <w:t xml:space="preserve">Питание обучающихся школ района было организовано в соответствии с законодательством. В Тюменцевском районе в сфере школьного питания с 2024 года реализовывалась </w:t>
      </w:r>
      <w:r w:rsidRPr="00C4367F">
        <w:rPr>
          <w:sz w:val="28"/>
          <w:szCs w:val="28"/>
        </w:rPr>
        <w:lastRenderedPageBreak/>
        <w:t xml:space="preserve">муниципальная программа «Совершенствование организации питания детей в общеобразовательных организациях </w:t>
      </w:r>
      <w:proofErr w:type="spellStart"/>
      <w:r w:rsidRPr="00C4367F">
        <w:rPr>
          <w:sz w:val="28"/>
          <w:szCs w:val="28"/>
        </w:rPr>
        <w:t>Тюменцевского</w:t>
      </w:r>
      <w:proofErr w:type="spellEnd"/>
      <w:r w:rsidRPr="00C4367F">
        <w:rPr>
          <w:sz w:val="28"/>
          <w:szCs w:val="28"/>
        </w:rPr>
        <w:t xml:space="preserve"> района на 2024-2028 годы»</w:t>
      </w:r>
      <w:proofErr w:type="gramStart"/>
      <w:r w:rsidRPr="00C4367F">
        <w:rPr>
          <w:sz w:val="28"/>
          <w:szCs w:val="28"/>
        </w:rPr>
        <w:t>.П</w:t>
      </w:r>
      <w:proofErr w:type="gramEnd"/>
      <w:r w:rsidRPr="00C4367F">
        <w:rPr>
          <w:sz w:val="28"/>
          <w:szCs w:val="28"/>
        </w:rPr>
        <w:t>ищеблоками для организации горячего питания оборудованы 12 объектов общего образования. Буфетного питания в районе нет.</w:t>
      </w:r>
      <w:r w:rsidRPr="00C4367F">
        <w:rPr>
          <w:sz w:val="28"/>
          <w:szCs w:val="28"/>
          <w:lang w:val="en-US"/>
        </w:rPr>
        <w:t> </w:t>
      </w:r>
      <w:r w:rsidRPr="00C4367F">
        <w:rPr>
          <w:sz w:val="28"/>
          <w:szCs w:val="28"/>
        </w:rPr>
        <w:t xml:space="preserve"> 1</w:t>
      </w:r>
      <w:proofErr w:type="gramStart"/>
      <w:r w:rsidRPr="00C4367F">
        <w:rPr>
          <w:sz w:val="28"/>
          <w:szCs w:val="28"/>
          <w:lang w:val="en-US"/>
        </w:rPr>
        <w:t>  </w:t>
      </w:r>
      <w:r w:rsidRPr="00C4367F">
        <w:rPr>
          <w:sz w:val="28"/>
          <w:szCs w:val="28"/>
        </w:rPr>
        <w:t>В</w:t>
      </w:r>
      <w:proofErr w:type="gramEnd"/>
      <w:r w:rsidRPr="00C4367F">
        <w:rPr>
          <w:sz w:val="28"/>
          <w:szCs w:val="28"/>
        </w:rPr>
        <w:t xml:space="preserve"> рамках реализации регионального проекта в сфере образования «Цифровая образовательная среда», Шарчинская средняя школа получила 16 ноутбуков, 5 </w:t>
      </w:r>
      <w:r w:rsidRPr="00C4367F">
        <w:rPr>
          <w:sz w:val="28"/>
          <w:szCs w:val="28"/>
          <w:lang w:val="en-US"/>
        </w:rPr>
        <w:t>IP</w:t>
      </w:r>
      <w:r w:rsidRPr="00C4367F">
        <w:rPr>
          <w:sz w:val="28"/>
          <w:szCs w:val="28"/>
        </w:rPr>
        <w:t xml:space="preserve"> –камер, 3 телевизора, 2 интерактивных комплекса с вычислительным блоком и мобильным креплением и 1 многофункциональное устройство.</w:t>
      </w:r>
      <w:r w:rsidR="00DF68EA">
        <w:rPr>
          <w:sz w:val="28"/>
          <w:szCs w:val="28"/>
        </w:rPr>
        <w:t xml:space="preserve"> </w:t>
      </w:r>
      <w:r w:rsidRPr="00C4367F">
        <w:rPr>
          <w:sz w:val="28"/>
          <w:szCs w:val="28"/>
        </w:rPr>
        <w:t>Система образования района – это сложный организм, который требует постоянного внимания и поддержки. Многое сделано, но и проблемных зон тоже немало. Хочется, чтобы в общеобразовательных организациях района было высоким качество знаний, средний балл ЕГЭ был выше краевого, чтобы не было стабильно низких результатов ВПР, кадровые условия соответствовали требованиям современного образования, а также материально-техническое оснащение сельских школ было не хуже, чем городских.</w:t>
      </w:r>
    </w:p>
    <w:p w:rsidR="00DF68EA" w:rsidRDefault="001F1010" w:rsidP="00DF68EA">
      <w:pPr>
        <w:ind w:firstLine="709"/>
        <w:jc w:val="both"/>
        <w:divId w:val="1972859180"/>
        <w:rPr>
          <w:sz w:val="28"/>
          <w:szCs w:val="28"/>
        </w:rPr>
      </w:pPr>
      <w:r w:rsidRPr="00DF68EA">
        <w:rPr>
          <w:b/>
          <w:sz w:val="28"/>
          <w:szCs w:val="28"/>
        </w:rPr>
        <w:t>Культура:</w:t>
      </w:r>
      <w:r w:rsidR="00DF68EA" w:rsidRPr="00DF68EA">
        <w:rPr>
          <w:b/>
          <w:sz w:val="28"/>
          <w:szCs w:val="28"/>
        </w:rPr>
        <w:t xml:space="preserve"> </w:t>
      </w:r>
      <w:r w:rsidRPr="00C4367F">
        <w:rPr>
          <w:sz w:val="28"/>
          <w:szCs w:val="28"/>
        </w:rPr>
        <w:t xml:space="preserve">В </w:t>
      </w:r>
      <w:proofErr w:type="spellStart"/>
      <w:r w:rsidRPr="00C4367F">
        <w:rPr>
          <w:sz w:val="28"/>
          <w:szCs w:val="28"/>
        </w:rPr>
        <w:t>Тюменцевском</w:t>
      </w:r>
      <w:proofErr w:type="spellEnd"/>
      <w:r w:rsidRPr="00C4367F">
        <w:rPr>
          <w:sz w:val="28"/>
          <w:szCs w:val="28"/>
        </w:rPr>
        <w:t xml:space="preserve"> районе функционируют учреждение дополнительного образования «</w:t>
      </w:r>
      <w:proofErr w:type="spellStart"/>
      <w:r w:rsidRPr="00C4367F">
        <w:rPr>
          <w:sz w:val="28"/>
          <w:szCs w:val="28"/>
        </w:rPr>
        <w:t>Тюменцевская</w:t>
      </w:r>
      <w:proofErr w:type="spellEnd"/>
      <w:r w:rsidRPr="00C4367F">
        <w:rPr>
          <w:sz w:val="28"/>
          <w:szCs w:val="28"/>
        </w:rPr>
        <w:t xml:space="preserve"> детская школа искусств» и муниципальное бюджетное учреждение культуры «Многофункциональный культурный центр», который включает в себя отделы “</w:t>
      </w:r>
      <w:proofErr w:type="spellStart"/>
      <w:r w:rsidRPr="00C4367F">
        <w:rPr>
          <w:sz w:val="28"/>
          <w:szCs w:val="28"/>
        </w:rPr>
        <w:t>Тюменцевский</w:t>
      </w:r>
      <w:proofErr w:type="spellEnd"/>
      <w:r w:rsidRPr="00C4367F">
        <w:rPr>
          <w:sz w:val="28"/>
          <w:szCs w:val="28"/>
        </w:rPr>
        <w:t xml:space="preserve"> районный дом культуры”, “</w:t>
      </w:r>
      <w:proofErr w:type="spellStart"/>
      <w:r w:rsidRPr="00C4367F">
        <w:rPr>
          <w:sz w:val="28"/>
          <w:szCs w:val="28"/>
        </w:rPr>
        <w:t>Тюменцевская</w:t>
      </w:r>
      <w:proofErr w:type="spellEnd"/>
      <w:r w:rsidRPr="00C4367F">
        <w:rPr>
          <w:sz w:val="28"/>
          <w:szCs w:val="28"/>
        </w:rPr>
        <w:t xml:space="preserve"> </w:t>
      </w:r>
      <w:proofErr w:type="spellStart"/>
      <w:r w:rsidRPr="00C4367F">
        <w:rPr>
          <w:sz w:val="28"/>
          <w:szCs w:val="28"/>
        </w:rPr>
        <w:t>межпоселенческая</w:t>
      </w:r>
      <w:proofErr w:type="spellEnd"/>
      <w:r w:rsidRPr="00C4367F">
        <w:rPr>
          <w:sz w:val="28"/>
          <w:szCs w:val="28"/>
        </w:rPr>
        <w:t xml:space="preserve"> центральная библиотека имени Георгия Васильевича Егорова ”, сектор «</w:t>
      </w:r>
      <w:proofErr w:type="spellStart"/>
      <w:r w:rsidRPr="00C4367F">
        <w:rPr>
          <w:sz w:val="28"/>
          <w:szCs w:val="28"/>
        </w:rPr>
        <w:t>Тюменцевская</w:t>
      </w:r>
      <w:proofErr w:type="spellEnd"/>
      <w:r w:rsidRPr="00C4367F">
        <w:rPr>
          <w:sz w:val="28"/>
          <w:szCs w:val="28"/>
        </w:rPr>
        <w:t xml:space="preserve"> центральная детская библиотека», сектор ”</w:t>
      </w:r>
      <w:proofErr w:type="spellStart"/>
      <w:r w:rsidRPr="00C4367F">
        <w:rPr>
          <w:sz w:val="28"/>
          <w:szCs w:val="28"/>
        </w:rPr>
        <w:t>Тюменцевский</w:t>
      </w:r>
      <w:proofErr w:type="spellEnd"/>
      <w:r w:rsidRPr="00C4367F">
        <w:rPr>
          <w:sz w:val="28"/>
          <w:szCs w:val="28"/>
        </w:rPr>
        <w:t xml:space="preserve"> районный историко-краеведческий музей” и “</w:t>
      </w:r>
      <w:proofErr w:type="spellStart"/>
      <w:r w:rsidRPr="00C4367F">
        <w:rPr>
          <w:sz w:val="28"/>
          <w:szCs w:val="28"/>
        </w:rPr>
        <w:t>Тюменцевский</w:t>
      </w:r>
      <w:proofErr w:type="spellEnd"/>
      <w:r w:rsidRPr="00C4367F">
        <w:rPr>
          <w:sz w:val="28"/>
          <w:szCs w:val="28"/>
        </w:rPr>
        <w:t xml:space="preserve"> районный организационно-методический центр”, 27 филиалов из них: 13 сельских библиотек и 14 сельских Домов культуры.</w:t>
      </w:r>
      <w:r w:rsidR="00DF68EA">
        <w:rPr>
          <w:sz w:val="28"/>
          <w:szCs w:val="28"/>
        </w:rPr>
        <w:t xml:space="preserve"> </w:t>
      </w:r>
      <w:proofErr w:type="gramStart"/>
      <w:r w:rsidRPr="00C4367F">
        <w:rPr>
          <w:sz w:val="28"/>
          <w:szCs w:val="28"/>
        </w:rPr>
        <w:t>А</w:t>
      </w:r>
      <w:proofErr w:type="gramEnd"/>
      <w:r w:rsidRPr="00C4367F">
        <w:rPr>
          <w:sz w:val="28"/>
          <w:szCs w:val="28"/>
        </w:rPr>
        <w:t xml:space="preserve">нализируя основные показатели работы культурно – </w:t>
      </w:r>
      <w:proofErr w:type="spellStart"/>
      <w:r w:rsidRPr="00C4367F">
        <w:rPr>
          <w:sz w:val="28"/>
          <w:szCs w:val="28"/>
        </w:rPr>
        <w:t>досуговых</w:t>
      </w:r>
      <w:proofErr w:type="spellEnd"/>
      <w:r w:rsidRPr="00C4367F">
        <w:rPr>
          <w:sz w:val="28"/>
          <w:szCs w:val="28"/>
        </w:rPr>
        <w:t xml:space="preserve"> учреждений района следует отметить, что число клубных формирований в сравнении с аналогичным периодом</w:t>
      </w:r>
      <w:r w:rsidRPr="00C4367F">
        <w:rPr>
          <w:sz w:val="28"/>
          <w:szCs w:val="28"/>
          <w:lang w:val="en-US"/>
        </w:rPr>
        <w:t> </w:t>
      </w:r>
      <w:r w:rsidRPr="00C4367F">
        <w:rPr>
          <w:sz w:val="28"/>
          <w:szCs w:val="28"/>
        </w:rPr>
        <w:t>прошлого года осталось неизменным -97,</w:t>
      </w:r>
      <w:r w:rsidRPr="00C4367F">
        <w:rPr>
          <w:sz w:val="28"/>
          <w:szCs w:val="28"/>
          <w:lang w:val="en-US"/>
        </w:rPr>
        <w:t> </w:t>
      </w:r>
      <w:r w:rsidRPr="00C4367F">
        <w:rPr>
          <w:sz w:val="28"/>
          <w:szCs w:val="28"/>
        </w:rPr>
        <w:t xml:space="preserve">число участников - 970 человек. Число детских формирований составляет -34, участников - 370 человек. </w:t>
      </w:r>
      <w:proofErr w:type="gramStart"/>
      <w:r w:rsidRPr="00C4367F">
        <w:rPr>
          <w:sz w:val="28"/>
          <w:szCs w:val="28"/>
        </w:rPr>
        <w:t>Всего культурно массовых мероприятий - 1778, количество посещений на них составило - 94197.Творческие делегации отдела районного дома культуры приняли участие в краевых фестивалях «Ради жизни на земле» (Диплом Лауреата), краевом конкурсе «Поклон селу и людям в нем живущим» (Специальный диплом), «Пусть сердце будет вечно молодым», «Целина продолжается в нас», «Альтернатива», «Всей семьей на сцену» и т.д.</w:t>
      </w:r>
      <w:proofErr w:type="gramEnd"/>
      <w:r w:rsidR="00DF68EA">
        <w:rPr>
          <w:sz w:val="28"/>
          <w:szCs w:val="28"/>
        </w:rPr>
        <w:t xml:space="preserve"> </w:t>
      </w:r>
      <w:r w:rsidRPr="00C4367F">
        <w:rPr>
          <w:sz w:val="28"/>
          <w:szCs w:val="28"/>
        </w:rPr>
        <w:t xml:space="preserve">Большим народным гулянием отметили 100-летие </w:t>
      </w:r>
      <w:proofErr w:type="spellStart"/>
      <w:r w:rsidRPr="00C4367F">
        <w:rPr>
          <w:sz w:val="28"/>
          <w:szCs w:val="28"/>
        </w:rPr>
        <w:t>Тюменцевского</w:t>
      </w:r>
      <w:proofErr w:type="spellEnd"/>
      <w:r w:rsidRPr="00C4367F">
        <w:rPr>
          <w:sz w:val="28"/>
          <w:szCs w:val="28"/>
        </w:rPr>
        <w:t xml:space="preserve"> района.</w:t>
      </w:r>
      <w:r w:rsidR="00DF68EA">
        <w:rPr>
          <w:sz w:val="28"/>
          <w:szCs w:val="28"/>
        </w:rPr>
        <w:t xml:space="preserve"> </w:t>
      </w:r>
      <w:r w:rsidRPr="00C4367F">
        <w:rPr>
          <w:sz w:val="28"/>
          <w:szCs w:val="28"/>
        </w:rPr>
        <w:t xml:space="preserve">На площади села располагалась ярмарка сельскохозяйственных подворий «С хлебом, солью и с любовью», участвовали делегации из сельских советов, а также представители из СПК им. Свердлова. Каждая делегация по-своему была уникальна. Одним из ярчайших событий стала выставка сельскохозяйственной техники </w:t>
      </w:r>
      <w:proofErr w:type="spellStart"/>
      <w:r w:rsidRPr="00C4367F">
        <w:rPr>
          <w:sz w:val="28"/>
          <w:szCs w:val="28"/>
        </w:rPr>
        <w:t>Тюменцевского</w:t>
      </w:r>
      <w:proofErr w:type="spellEnd"/>
      <w:r w:rsidRPr="00C4367F">
        <w:rPr>
          <w:sz w:val="28"/>
          <w:szCs w:val="28"/>
        </w:rPr>
        <w:t xml:space="preserve"> района. Открыли выставку артисты из Заслуженного коллектива Алтайского края народного ансамбля «Древляне».</w:t>
      </w:r>
      <w:r w:rsidR="00DF68EA">
        <w:rPr>
          <w:sz w:val="28"/>
          <w:szCs w:val="28"/>
        </w:rPr>
        <w:t xml:space="preserve"> </w:t>
      </w:r>
      <w:r w:rsidRPr="00C4367F">
        <w:rPr>
          <w:sz w:val="28"/>
          <w:szCs w:val="28"/>
        </w:rPr>
        <w:t xml:space="preserve">Для любителей народного творчества работала площадка </w:t>
      </w:r>
      <w:r w:rsidRPr="00C4367F">
        <w:rPr>
          <w:sz w:val="28"/>
          <w:szCs w:val="28"/>
        </w:rPr>
        <w:lastRenderedPageBreak/>
        <w:t xml:space="preserve">«Фольклорный пятачок», которую провели Заслуженный коллектив Алтайского края народный ансамбль «Древляне», фольклорный ансамбль «Радуница» и ансамбль ветеранов «Осень». Так же была организована выставка работ участников клуба традиционного рукоделия «Оберег». Множество </w:t>
      </w:r>
      <w:proofErr w:type="spellStart"/>
      <w:r w:rsidRPr="00C4367F">
        <w:rPr>
          <w:sz w:val="28"/>
          <w:szCs w:val="28"/>
        </w:rPr>
        <w:t>фотозон</w:t>
      </w:r>
      <w:proofErr w:type="spellEnd"/>
      <w:r w:rsidRPr="00C4367F">
        <w:rPr>
          <w:sz w:val="28"/>
          <w:szCs w:val="28"/>
        </w:rPr>
        <w:t>, игровых площадок, мастер-классов не оставили жителей и гостей района равнодушными.</w:t>
      </w:r>
      <w:r w:rsidR="00DF68EA">
        <w:rPr>
          <w:sz w:val="28"/>
          <w:szCs w:val="28"/>
        </w:rPr>
        <w:t xml:space="preserve"> </w:t>
      </w:r>
      <w:r w:rsidRPr="00C4367F">
        <w:rPr>
          <w:sz w:val="28"/>
          <w:szCs w:val="28"/>
        </w:rPr>
        <w:t>Самой масштабной и интерактивной зоной на площади стала зона Движения первых «Раз ромашка, два ромашка». Со сцены прозвучало множество поздравлений. В честь предстоящего праздника «Дня семьи, любви и верности» со сцены чествовали семейные пары района.</w:t>
      </w:r>
      <w:r w:rsidRPr="00C4367F">
        <w:rPr>
          <w:sz w:val="28"/>
          <w:szCs w:val="28"/>
          <w:lang w:val="en-US"/>
        </w:rPr>
        <w:t> </w:t>
      </w:r>
      <w:r w:rsidRPr="00C4367F">
        <w:rPr>
          <w:sz w:val="28"/>
          <w:szCs w:val="28"/>
        </w:rPr>
        <w:t xml:space="preserve">Юбилейный концерт завершился торжественным открытием доски почета. Были и выступления школы каратэ </w:t>
      </w:r>
      <w:proofErr w:type="spellStart"/>
      <w:r w:rsidRPr="00C4367F">
        <w:rPr>
          <w:sz w:val="28"/>
          <w:szCs w:val="28"/>
        </w:rPr>
        <w:t>киокушин</w:t>
      </w:r>
      <w:proofErr w:type="spellEnd"/>
      <w:r w:rsidRPr="00C4367F">
        <w:rPr>
          <w:sz w:val="28"/>
          <w:szCs w:val="28"/>
        </w:rPr>
        <w:t xml:space="preserve"> «</w:t>
      </w:r>
      <w:proofErr w:type="spellStart"/>
      <w:r w:rsidRPr="00C4367F">
        <w:rPr>
          <w:sz w:val="28"/>
          <w:szCs w:val="28"/>
        </w:rPr>
        <w:t>Аркуда</w:t>
      </w:r>
      <w:proofErr w:type="spellEnd"/>
      <w:r w:rsidRPr="00C4367F">
        <w:rPr>
          <w:sz w:val="28"/>
          <w:szCs w:val="28"/>
        </w:rPr>
        <w:t xml:space="preserve"> </w:t>
      </w:r>
      <w:proofErr w:type="spellStart"/>
      <w:r w:rsidRPr="00C4367F">
        <w:rPr>
          <w:sz w:val="28"/>
          <w:szCs w:val="28"/>
        </w:rPr>
        <w:t>Додзё</w:t>
      </w:r>
      <w:proofErr w:type="spellEnd"/>
      <w:r w:rsidRPr="00C4367F">
        <w:rPr>
          <w:sz w:val="28"/>
          <w:szCs w:val="28"/>
        </w:rPr>
        <w:t xml:space="preserve">». В след за каратистами свою концертную программу представили гости праздника из </w:t>
      </w:r>
      <w:proofErr w:type="gramStart"/>
      <w:r w:rsidRPr="00C4367F">
        <w:rPr>
          <w:sz w:val="28"/>
          <w:szCs w:val="28"/>
        </w:rPr>
        <w:t>г</w:t>
      </w:r>
      <w:proofErr w:type="gramEnd"/>
      <w:r w:rsidRPr="00C4367F">
        <w:rPr>
          <w:sz w:val="28"/>
          <w:szCs w:val="28"/>
        </w:rPr>
        <w:t>. Барнаула.</w:t>
      </w:r>
      <w:r w:rsidRPr="00C4367F">
        <w:rPr>
          <w:sz w:val="28"/>
          <w:szCs w:val="28"/>
          <w:lang w:val="en-US"/>
        </w:rPr>
        <w:t> </w:t>
      </w:r>
      <w:r w:rsidRPr="00C4367F">
        <w:rPr>
          <w:sz w:val="28"/>
          <w:szCs w:val="28"/>
        </w:rPr>
        <w:t xml:space="preserve"> Еще одно грандиозное событие, которое широко праздновали в нашем районе - это празднование 100-летия поселка Королевский «Тепло родной земли дает нам силы». Праздник начался ярким парадом улиц, где каждая улица представляла какое-либо событие, отражающее название и дух жителей: пионерское детство, свадьбу, юбилей. В торжественной части праздника чествовали юбиляров, ветеранов боевых действий, супружеские пары, профессионалов в разных сферах, дарили им песни, танцы и добрые слова. Каждый житель и гость нашел себе занятие по душе, так как праздник продолжили игровые площадки, спортивные соревнования, выставка-дегустация семейных блюд и танцевально-развлекательная программа гостей из города Барнаула.</w:t>
      </w:r>
      <w:r w:rsidR="00DF68EA">
        <w:rPr>
          <w:sz w:val="28"/>
          <w:szCs w:val="28"/>
        </w:rPr>
        <w:t xml:space="preserve"> </w:t>
      </w:r>
      <w:r w:rsidRPr="00C4367F">
        <w:rPr>
          <w:sz w:val="28"/>
          <w:szCs w:val="28"/>
        </w:rPr>
        <w:t xml:space="preserve">Ежегодно в районе проходит фестиваль коллективов художественной самодеятельности. В 2024 году он прошел под девизом «Под крылом семьи» и завершился ярким гала-концертом и награждением победителей. 1 место </w:t>
      </w:r>
      <w:proofErr w:type="spellStart"/>
      <w:r w:rsidRPr="00C4367F">
        <w:rPr>
          <w:sz w:val="28"/>
          <w:szCs w:val="28"/>
        </w:rPr>
        <w:t>Вылковский</w:t>
      </w:r>
      <w:proofErr w:type="spellEnd"/>
      <w:r w:rsidRPr="00C4367F">
        <w:rPr>
          <w:sz w:val="28"/>
          <w:szCs w:val="28"/>
        </w:rPr>
        <w:t xml:space="preserve"> сельский дом культуры ,2 мест</w:t>
      </w:r>
      <w:proofErr w:type="gramStart"/>
      <w:r w:rsidRPr="00C4367F">
        <w:rPr>
          <w:sz w:val="28"/>
          <w:szCs w:val="28"/>
        </w:rPr>
        <w:t>о-</w:t>
      </w:r>
      <w:proofErr w:type="gramEnd"/>
      <w:r w:rsidRPr="00C4367F">
        <w:rPr>
          <w:sz w:val="28"/>
          <w:szCs w:val="28"/>
        </w:rPr>
        <w:t xml:space="preserve"> Королевский сельский дом культуры, 3 место -Заводской сельский дом культуры и специальным дипломом и</w:t>
      </w:r>
      <w:r w:rsidRPr="00C4367F">
        <w:rPr>
          <w:sz w:val="28"/>
          <w:szCs w:val="28"/>
          <w:lang w:val="en-US"/>
        </w:rPr>
        <w:t> </w:t>
      </w:r>
      <w:r w:rsidRPr="00C4367F">
        <w:rPr>
          <w:sz w:val="28"/>
          <w:szCs w:val="28"/>
        </w:rPr>
        <w:t xml:space="preserve"> среди малых сел отмечен </w:t>
      </w:r>
      <w:proofErr w:type="spellStart"/>
      <w:r w:rsidRPr="00C4367F">
        <w:rPr>
          <w:sz w:val="28"/>
          <w:szCs w:val="28"/>
        </w:rPr>
        <w:t>Мезенцевский</w:t>
      </w:r>
      <w:proofErr w:type="spellEnd"/>
      <w:r w:rsidRPr="00C4367F">
        <w:rPr>
          <w:sz w:val="28"/>
          <w:szCs w:val="28"/>
        </w:rPr>
        <w:t xml:space="preserve"> сельский дом культуры.«МФКЦ» </w:t>
      </w:r>
      <w:proofErr w:type="spellStart"/>
      <w:r w:rsidRPr="00C4367F">
        <w:rPr>
          <w:sz w:val="28"/>
          <w:szCs w:val="28"/>
        </w:rPr>
        <w:t>Тюменцевского</w:t>
      </w:r>
      <w:proofErr w:type="spellEnd"/>
      <w:r w:rsidRPr="00C4367F">
        <w:rPr>
          <w:sz w:val="28"/>
          <w:szCs w:val="28"/>
        </w:rPr>
        <w:t xml:space="preserve"> района стал победителем второго конкурса на предоставление грантов Президента Российской Федерации на реализацию проектов в области культуры, искусства и </w:t>
      </w:r>
      <w:proofErr w:type="spellStart"/>
      <w:r w:rsidRPr="00C4367F">
        <w:rPr>
          <w:sz w:val="28"/>
          <w:szCs w:val="28"/>
        </w:rPr>
        <w:t>креативны</w:t>
      </w:r>
      <w:proofErr w:type="gramStart"/>
      <w:r w:rsidRPr="00C4367F">
        <w:rPr>
          <w:sz w:val="28"/>
          <w:szCs w:val="28"/>
        </w:rPr>
        <w:t>х</w:t>
      </w:r>
      <w:proofErr w:type="spellEnd"/>
      <w:r w:rsidRPr="00C4367F">
        <w:rPr>
          <w:sz w:val="28"/>
          <w:szCs w:val="28"/>
        </w:rPr>
        <w:t>(</w:t>
      </w:r>
      <w:proofErr w:type="gramEnd"/>
      <w:r w:rsidRPr="00C4367F">
        <w:rPr>
          <w:sz w:val="28"/>
          <w:szCs w:val="28"/>
        </w:rPr>
        <w:t>творческих) индустрий. Проект «</w:t>
      </w:r>
      <w:proofErr w:type="spellStart"/>
      <w:r w:rsidRPr="00C4367F">
        <w:rPr>
          <w:sz w:val="28"/>
          <w:szCs w:val="28"/>
        </w:rPr>
        <w:t>Федосьины</w:t>
      </w:r>
      <w:proofErr w:type="spellEnd"/>
      <w:r w:rsidRPr="00C4367F">
        <w:rPr>
          <w:sz w:val="28"/>
          <w:szCs w:val="28"/>
        </w:rPr>
        <w:t xml:space="preserve"> песни» был поддержан суммой в 491 849 рублей. Срок реализации 2024-2025 год.</w:t>
      </w:r>
      <w:r w:rsidR="00DF68EA">
        <w:rPr>
          <w:sz w:val="28"/>
          <w:szCs w:val="28"/>
        </w:rPr>
        <w:t xml:space="preserve"> </w:t>
      </w:r>
      <w:r w:rsidRPr="00C4367F">
        <w:rPr>
          <w:sz w:val="28"/>
          <w:szCs w:val="28"/>
        </w:rPr>
        <w:t>Главным информационным потенциалом в библиотеках района является книга.</w:t>
      </w:r>
      <w:r w:rsidRPr="00C4367F">
        <w:rPr>
          <w:sz w:val="28"/>
          <w:szCs w:val="28"/>
          <w:lang w:val="en-US"/>
        </w:rPr>
        <w:t>       </w:t>
      </w:r>
      <w:r w:rsidRPr="00C4367F">
        <w:rPr>
          <w:sz w:val="28"/>
          <w:szCs w:val="28"/>
        </w:rPr>
        <w:t xml:space="preserve"> Во всех библиотеках района работает библиотечный патронаж «Книга-03». Библиотекари и волонтеры доставляют книги и периодические издания нуждающимся жителям на дом. Их количество составляет 39 человек.</w:t>
      </w:r>
      <w:r w:rsidRPr="00C4367F">
        <w:rPr>
          <w:sz w:val="28"/>
          <w:szCs w:val="28"/>
          <w:lang w:val="en-US"/>
        </w:rPr>
        <w:t>     </w:t>
      </w:r>
      <w:r w:rsidRPr="00C4367F">
        <w:rPr>
          <w:sz w:val="28"/>
          <w:szCs w:val="28"/>
        </w:rPr>
        <w:t xml:space="preserve"> Отдел библиотеки им. Г. В. Егорова» зарегистрирован в автоматизированной библиотечно-информационной системе ИРБИС 64/32, в которой ведется электронный каталог, в нем насчитывается 6641 записей, из них 206 сделаны в отчетном году.</w:t>
      </w:r>
      <w:r w:rsidRPr="00C4367F">
        <w:rPr>
          <w:sz w:val="28"/>
          <w:szCs w:val="28"/>
          <w:lang w:val="en-US"/>
        </w:rPr>
        <w:t>      </w:t>
      </w:r>
      <w:r w:rsidRPr="00C4367F">
        <w:rPr>
          <w:sz w:val="28"/>
          <w:szCs w:val="28"/>
        </w:rPr>
        <w:t xml:space="preserve"> Услугами фондов ЛитРес воспользовалось 18 пользователей, число посещений составило – 391, книговыдача - 62.</w:t>
      </w:r>
      <w:r w:rsidRPr="00C4367F">
        <w:rPr>
          <w:sz w:val="28"/>
          <w:szCs w:val="28"/>
          <w:lang w:val="en-US"/>
        </w:rPr>
        <w:t>        </w:t>
      </w:r>
      <w:r w:rsidRPr="00C4367F">
        <w:rPr>
          <w:sz w:val="28"/>
          <w:szCs w:val="28"/>
        </w:rPr>
        <w:t xml:space="preserve"> Обеспечивая эту деятельность, библиотека дает возможность пользоваться отечественными </w:t>
      </w:r>
      <w:r w:rsidRPr="00C4367F">
        <w:rPr>
          <w:sz w:val="28"/>
          <w:szCs w:val="28"/>
        </w:rPr>
        <w:lastRenderedPageBreak/>
        <w:t>и мировыми электронными ресурсами.</w:t>
      </w:r>
      <w:r w:rsidRPr="00C4367F">
        <w:rPr>
          <w:sz w:val="28"/>
          <w:szCs w:val="28"/>
          <w:lang w:val="en-US"/>
        </w:rPr>
        <w:t>         </w:t>
      </w:r>
      <w:r w:rsidRPr="00C4367F">
        <w:rPr>
          <w:sz w:val="28"/>
          <w:szCs w:val="28"/>
        </w:rPr>
        <w:t xml:space="preserve"> В отделе библиотеке</w:t>
      </w:r>
      <w:r w:rsidRPr="00C4367F">
        <w:rPr>
          <w:sz w:val="28"/>
          <w:szCs w:val="28"/>
          <w:lang w:val="en-US"/>
        </w:rPr>
        <w:t> </w:t>
      </w:r>
      <w:r w:rsidRPr="00C4367F">
        <w:rPr>
          <w:sz w:val="28"/>
          <w:szCs w:val="28"/>
        </w:rPr>
        <w:t xml:space="preserve"> им. Г. В. Егорова ведутся электронные базы данных: </w:t>
      </w:r>
      <w:proofErr w:type="gramStart"/>
      <w:r w:rsidRPr="00C4367F">
        <w:rPr>
          <w:sz w:val="28"/>
          <w:szCs w:val="28"/>
        </w:rPr>
        <w:t>«Писатель – земляк Г. В. Егоров» и «Статьи из газеты «Вперед», полнотекстовая</w:t>
      </w:r>
      <w:r w:rsidRPr="00C4367F">
        <w:rPr>
          <w:sz w:val="28"/>
          <w:szCs w:val="28"/>
          <w:lang w:val="en-US"/>
        </w:rPr>
        <w:t> </w:t>
      </w:r>
      <w:r w:rsidRPr="00C4367F">
        <w:rPr>
          <w:sz w:val="28"/>
          <w:szCs w:val="28"/>
        </w:rPr>
        <w:t xml:space="preserve"> «Периодика Алтая» — электронной библиотеки районной газеты «Вперед».</w:t>
      </w:r>
      <w:proofErr w:type="gramEnd"/>
      <w:r w:rsidRPr="00C4367F">
        <w:rPr>
          <w:sz w:val="28"/>
          <w:szCs w:val="28"/>
          <w:lang w:val="en-US"/>
        </w:rPr>
        <w:t>          </w:t>
      </w:r>
      <w:r w:rsidRPr="00C4367F">
        <w:rPr>
          <w:sz w:val="28"/>
          <w:szCs w:val="28"/>
        </w:rPr>
        <w:t xml:space="preserve"> Количество </w:t>
      </w:r>
      <w:proofErr w:type="gramStart"/>
      <w:r w:rsidRPr="00C4367F">
        <w:rPr>
          <w:sz w:val="28"/>
          <w:szCs w:val="28"/>
        </w:rPr>
        <w:t>читателей, пользующихся услугами библиотеки составило</w:t>
      </w:r>
      <w:proofErr w:type="gramEnd"/>
      <w:r w:rsidRPr="00C4367F">
        <w:rPr>
          <w:sz w:val="28"/>
          <w:szCs w:val="28"/>
        </w:rPr>
        <w:t xml:space="preserve"> 7 507, что соответствует уровню прошлого года, книговыдача составила 165 660 – это на 7</w:t>
      </w:r>
      <w:r w:rsidRPr="00C4367F">
        <w:rPr>
          <w:sz w:val="28"/>
          <w:szCs w:val="28"/>
          <w:lang w:val="en-US"/>
        </w:rPr>
        <w:t> </w:t>
      </w:r>
      <w:r w:rsidRPr="00C4367F">
        <w:rPr>
          <w:sz w:val="28"/>
          <w:szCs w:val="28"/>
        </w:rPr>
        <w:t>886 экземпляров документов больше уровня прошлого года, посещений –</w:t>
      </w:r>
      <w:r w:rsidRPr="00C4367F">
        <w:rPr>
          <w:sz w:val="28"/>
          <w:szCs w:val="28"/>
          <w:lang w:val="en-US"/>
        </w:rPr>
        <w:t> </w:t>
      </w:r>
      <w:r w:rsidRPr="00C4367F">
        <w:rPr>
          <w:sz w:val="28"/>
          <w:szCs w:val="28"/>
        </w:rPr>
        <w:t xml:space="preserve"> 172 710, что на 14 010 больше, чем в прошлом году. Совокупный книжный фонд пополнился на 1 915 экземпляров - это на 238 документов больше, чем в предыдущем году и составил 164 527 экземпляров.</w:t>
      </w:r>
      <w:r w:rsidRPr="00C4367F">
        <w:rPr>
          <w:sz w:val="28"/>
          <w:szCs w:val="28"/>
          <w:lang w:val="en-US"/>
        </w:rPr>
        <w:t>  </w:t>
      </w:r>
      <w:r w:rsidRPr="00C4367F">
        <w:rPr>
          <w:sz w:val="28"/>
          <w:szCs w:val="28"/>
        </w:rPr>
        <w:t xml:space="preserve">Анализируя деятельность музея за 2024 год, необходимо отметить, что показатели стабильны. В музее расположено 4 зала: «Из глубины веков», «Заселение», «ХХ век», «Боевая слава района». Действует 18 постоянных экспозиций. Организовано 41 </w:t>
      </w:r>
      <w:proofErr w:type="spellStart"/>
      <w:r w:rsidRPr="00C4367F">
        <w:rPr>
          <w:sz w:val="28"/>
          <w:szCs w:val="28"/>
        </w:rPr>
        <w:t>выставка</w:t>
      </w:r>
      <w:proofErr w:type="gramStart"/>
      <w:r w:rsidRPr="00C4367F">
        <w:rPr>
          <w:sz w:val="28"/>
          <w:szCs w:val="28"/>
        </w:rPr>
        <w:t>.П</w:t>
      </w:r>
      <w:proofErr w:type="gramEnd"/>
      <w:r w:rsidRPr="00C4367F">
        <w:rPr>
          <w:sz w:val="28"/>
          <w:szCs w:val="28"/>
        </w:rPr>
        <w:t>оказатели</w:t>
      </w:r>
      <w:proofErr w:type="spellEnd"/>
      <w:r w:rsidRPr="00C4367F">
        <w:rPr>
          <w:sz w:val="28"/>
          <w:szCs w:val="28"/>
        </w:rPr>
        <w:t xml:space="preserve"> по нацпроекту выполнены. Музей является не просто центром патриотического воспитания, но и штабом по сбору гуманитарной помощи военнослужащим и мобилизованным землякам.</w:t>
      </w:r>
      <w:r w:rsidRPr="00C4367F">
        <w:rPr>
          <w:sz w:val="28"/>
          <w:szCs w:val="28"/>
          <w:lang w:val="en-US"/>
        </w:rPr>
        <w:t> </w:t>
      </w:r>
      <w:r w:rsidRPr="00C4367F">
        <w:rPr>
          <w:sz w:val="28"/>
          <w:szCs w:val="28"/>
        </w:rPr>
        <w:t xml:space="preserve"> В 2024 году основной фонд музея пополнился на 117 единиц и составляет 6261 </w:t>
      </w:r>
      <w:proofErr w:type="spellStart"/>
      <w:r w:rsidRPr="00C4367F">
        <w:rPr>
          <w:sz w:val="28"/>
          <w:szCs w:val="28"/>
        </w:rPr>
        <w:t>предметов</w:t>
      </w:r>
      <w:proofErr w:type="gramStart"/>
      <w:r w:rsidRPr="00C4367F">
        <w:rPr>
          <w:sz w:val="28"/>
          <w:szCs w:val="28"/>
        </w:rPr>
        <w:t>.В</w:t>
      </w:r>
      <w:proofErr w:type="spellEnd"/>
      <w:proofErr w:type="gramEnd"/>
      <w:r w:rsidRPr="00C4367F">
        <w:rPr>
          <w:sz w:val="28"/>
          <w:szCs w:val="28"/>
        </w:rPr>
        <w:t xml:space="preserve"> </w:t>
      </w:r>
      <w:proofErr w:type="spellStart"/>
      <w:r w:rsidRPr="00C4367F">
        <w:rPr>
          <w:sz w:val="28"/>
          <w:szCs w:val="28"/>
        </w:rPr>
        <w:t>Тюменцевской</w:t>
      </w:r>
      <w:proofErr w:type="spellEnd"/>
      <w:r w:rsidRPr="00C4367F">
        <w:rPr>
          <w:sz w:val="28"/>
          <w:szCs w:val="28"/>
        </w:rPr>
        <w:t xml:space="preserve"> детской школе искусств в 2024 году обучалось – 250 </w:t>
      </w:r>
      <w:proofErr w:type="spellStart"/>
      <w:r w:rsidRPr="00C4367F">
        <w:rPr>
          <w:sz w:val="28"/>
          <w:szCs w:val="28"/>
        </w:rPr>
        <w:t>детей.В</w:t>
      </w:r>
      <w:proofErr w:type="spellEnd"/>
      <w:r w:rsidRPr="00C4367F">
        <w:rPr>
          <w:sz w:val="28"/>
          <w:szCs w:val="28"/>
        </w:rPr>
        <w:t xml:space="preserve"> том числе из сел: </w:t>
      </w:r>
      <w:proofErr w:type="spellStart"/>
      <w:r w:rsidRPr="00C4367F">
        <w:rPr>
          <w:sz w:val="28"/>
          <w:szCs w:val="28"/>
        </w:rPr>
        <w:t>Вылково</w:t>
      </w:r>
      <w:proofErr w:type="spellEnd"/>
      <w:r w:rsidRPr="00C4367F">
        <w:rPr>
          <w:sz w:val="28"/>
          <w:szCs w:val="28"/>
        </w:rPr>
        <w:t xml:space="preserve">, </w:t>
      </w:r>
      <w:proofErr w:type="spellStart"/>
      <w:r w:rsidRPr="00C4367F">
        <w:rPr>
          <w:sz w:val="28"/>
          <w:szCs w:val="28"/>
        </w:rPr>
        <w:t>Карповка</w:t>
      </w:r>
      <w:proofErr w:type="spellEnd"/>
      <w:r w:rsidRPr="00C4367F">
        <w:rPr>
          <w:sz w:val="28"/>
          <w:szCs w:val="28"/>
        </w:rPr>
        <w:t xml:space="preserve">, Грязново, Королёвка, </w:t>
      </w:r>
      <w:proofErr w:type="spellStart"/>
      <w:r w:rsidRPr="00C4367F">
        <w:rPr>
          <w:sz w:val="28"/>
          <w:szCs w:val="28"/>
        </w:rPr>
        <w:t>Мезенцево,Черемшанка</w:t>
      </w:r>
      <w:proofErr w:type="spellEnd"/>
      <w:r w:rsidRPr="00C4367F">
        <w:rPr>
          <w:sz w:val="28"/>
          <w:szCs w:val="28"/>
        </w:rPr>
        <w:t xml:space="preserve">, Ключи, </w:t>
      </w:r>
      <w:proofErr w:type="spellStart"/>
      <w:r w:rsidRPr="00C4367F">
        <w:rPr>
          <w:sz w:val="28"/>
          <w:szCs w:val="28"/>
        </w:rPr>
        <w:t>Шарчино</w:t>
      </w:r>
      <w:proofErr w:type="gramStart"/>
      <w:r w:rsidRPr="00C4367F">
        <w:rPr>
          <w:sz w:val="28"/>
          <w:szCs w:val="28"/>
        </w:rPr>
        <w:t>.Б</w:t>
      </w:r>
      <w:proofErr w:type="gramEnd"/>
      <w:r w:rsidRPr="00C4367F">
        <w:rPr>
          <w:sz w:val="28"/>
          <w:szCs w:val="28"/>
        </w:rPr>
        <w:t>олее</w:t>
      </w:r>
      <w:proofErr w:type="spellEnd"/>
      <w:r w:rsidRPr="00C4367F">
        <w:rPr>
          <w:sz w:val="28"/>
          <w:szCs w:val="28"/>
        </w:rPr>
        <w:t xml:space="preserve"> 20 раз приняли участие в различных конкурсах и фестивалях </w:t>
      </w:r>
      <w:proofErr w:type="spellStart"/>
      <w:r w:rsidRPr="00C4367F">
        <w:rPr>
          <w:sz w:val="28"/>
          <w:szCs w:val="28"/>
        </w:rPr>
        <w:t>учащиесяи</w:t>
      </w:r>
      <w:proofErr w:type="spellEnd"/>
      <w:r w:rsidRPr="00C4367F">
        <w:rPr>
          <w:sz w:val="28"/>
          <w:szCs w:val="28"/>
        </w:rPr>
        <w:t xml:space="preserve"> преподаватели детской школы искусств, где становились Лауреатами 1,2 и3 степени. Хочется отметить преподавателей за плодотворную работу в</w:t>
      </w:r>
      <w:r w:rsidRPr="00C4367F">
        <w:rPr>
          <w:sz w:val="28"/>
          <w:szCs w:val="28"/>
          <w:lang w:val="en-US"/>
        </w:rPr>
        <w:t> </w:t>
      </w:r>
      <w:proofErr w:type="spellStart"/>
      <w:r w:rsidRPr="00C4367F">
        <w:rPr>
          <w:sz w:val="28"/>
          <w:szCs w:val="28"/>
        </w:rPr>
        <w:t>ечении</w:t>
      </w:r>
      <w:proofErr w:type="spellEnd"/>
      <w:r w:rsidRPr="00C4367F">
        <w:rPr>
          <w:sz w:val="28"/>
          <w:szCs w:val="28"/>
        </w:rPr>
        <w:t xml:space="preserve"> года: Рогатину Галину Витальевну, </w:t>
      </w:r>
      <w:proofErr w:type="spellStart"/>
      <w:r w:rsidRPr="00C4367F">
        <w:rPr>
          <w:sz w:val="28"/>
          <w:szCs w:val="28"/>
        </w:rPr>
        <w:t>Баклыкову</w:t>
      </w:r>
      <w:proofErr w:type="spellEnd"/>
      <w:r w:rsidRPr="00C4367F">
        <w:rPr>
          <w:sz w:val="28"/>
          <w:szCs w:val="28"/>
        </w:rPr>
        <w:t xml:space="preserve"> Елену Викторовну, </w:t>
      </w:r>
      <w:proofErr w:type="spellStart"/>
      <w:r w:rsidRPr="00C4367F">
        <w:rPr>
          <w:sz w:val="28"/>
          <w:szCs w:val="28"/>
        </w:rPr>
        <w:t>Чернышова</w:t>
      </w:r>
      <w:proofErr w:type="spellEnd"/>
      <w:r w:rsidRPr="00C4367F">
        <w:rPr>
          <w:sz w:val="28"/>
          <w:szCs w:val="28"/>
        </w:rPr>
        <w:t xml:space="preserve"> Андрея Алексеевича, </w:t>
      </w:r>
      <w:proofErr w:type="spellStart"/>
      <w:r w:rsidRPr="00C4367F">
        <w:rPr>
          <w:sz w:val="28"/>
          <w:szCs w:val="28"/>
        </w:rPr>
        <w:t>Мерц</w:t>
      </w:r>
      <w:proofErr w:type="spellEnd"/>
      <w:r w:rsidRPr="00C4367F">
        <w:rPr>
          <w:sz w:val="28"/>
          <w:szCs w:val="28"/>
        </w:rPr>
        <w:t xml:space="preserve"> Татьяну Васильевну, </w:t>
      </w:r>
      <w:proofErr w:type="spellStart"/>
      <w:r w:rsidRPr="00C4367F">
        <w:rPr>
          <w:sz w:val="28"/>
          <w:szCs w:val="28"/>
        </w:rPr>
        <w:t>Логовских</w:t>
      </w:r>
      <w:proofErr w:type="spellEnd"/>
      <w:r w:rsidRPr="00C4367F">
        <w:rPr>
          <w:sz w:val="28"/>
          <w:szCs w:val="28"/>
        </w:rPr>
        <w:t xml:space="preserve"> Татьяну </w:t>
      </w:r>
      <w:proofErr w:type="spellStart"/>
      <w:r w:rsidRPr="00C4367F">
        <w:rPr>
          <w:sz w:val="28"/>
          <w:szCs w:val="28"/>
        </w:rPr>
        <w:t>Ивановну</w:t>
      </w:r>
      <w:proofErr w:type="gramStart"/>
      <w:r w:rsidRPr="00C4367F">
        <w:rPr>
          <w:sz w:val="28"/>
          <w:szCs w:val="28"/>
        </w:rPr>
        <w:t>.П</w:t>
      </w:r>
      <w:proofErr w:type="gramEnd"/>
      <w:r w:rsidRPr="00C4367F">
        <w:rPr>
          <w:sz w:val="28"/>
          <w:szCs w:val="28"/>
        </w:rPr>
        <w:t>оказатель</w:t>
      </w:r>
      <w:proofErr w:type="spellEnd"/>
      <w:r w:rsidRPr="00C4367F">
        <w:rPr>
          <w:sz w:val="28"/>
          <w:szCs w:val="28"/>
        </w:rPr>
        <w:t xml:space="preserve"> по заработной плате работников культуры многофункционального культурного центра в 2024 году были выполнены на 100%, а также дополнительное образование в сфере культуры – 100%В 2024 году за счет собственных средств было </w:t>
      </w:r>
      <w:proofErr w:type="spellStart"/>
      <w:r w:rsidRPr="00C4367F">
        <w:rPr>
          <w:sz w:val="28"/>
          <w:szCs w:val="28"/>
        </w:rPr>
        <w:t>приобретено:Проектор</w:t>
      </w:r>
      <w:proofErr w:type="spellEnd"/>
      <w:r w:rsidRPr="00C4367F">
        <w:rPr>
          <w:sz w:val="28"/>
          <w:szCs w:val="28"/>
        </w:rPr>
        <w:t xml:space="preserve"> для районного дома культуры на сумму – 206 997р.- жалюзи на сумму 116 334р.- музыкальное оборудование в Королевский сельский клуб на сумму600 000р.- кларнет в детскую школу искусств на сумму 169 020р.</w:t>
      </w:r>
      <w:r w:rsidRPr="00C4367F">
        <w:rPr>
          <w:sz w:val="28"/>
          <w:szCs w:val="28"/>
          <w:lang w:val="en-US"/>
        </w:rPr>
        <w:t> </w:t>
      </w:r>
      <w:r w:rsidRPr="00C4367F">
        <w:rPr>
          <w:sz w:val="28"/>
          <w:szCs w:val="28"/>
        </w:rPr>
        <w:t xml:space="preserve">В 2024 году по Муниципальной программе «Обеспечение жильем молодых семей в </w:t>
      </w:r>
      <w:proofErr w:type="spellStart"/>
      <w:r w:rsidRPr="00C4367F">
        <w:rPr>
          <w:sz w:val="28"/>
          <w:szCs w:val="28"/>
        </w:rPr>
        <w:t>Тюменцевском</w:t>
      </w:r>
      <w:proofErr w:type="spellEnd"/>
      <w:r w:rsidRPr="00C4367F">
        <w:rPr>
          <w:sz w:val="28"/>
          <w:szCs w:val="28"/>
        </w:rPr>
        <w:t xml:space="preserve"> районе» приобрели жилье на вторичном рынке из с. Тюменцево 5 семей:2 семьи </w:t>
      </w:r>
      <w:proofErr w:type="gramStart"/>
      <w:r w:rsidRPr="00C4367F">
        <w:rPr>
          <w:sz w:val="28"/>
          <w:szCs w:val="28"/>
        </w:rPr>
        <w:t>в</w:t>
      </w:r>
      <w:proofErr w:type="gramEnd"/>
      <w:r w:rsidRPr="00C4367F">
        <w:rPr>
          <w:sz w:val="28"/>
          <w:szCs w:val="28"/>
        </w:rPr>
        <w:t xml:space="preserve"> с. Тюменцево. Одна из них многодетная. А также в с. </w:t>
      </w:r>
      <w:proofErr w:type="spellStart"/>
      <w:r w:rsidRPr="00C4367F">
        <w:rPr>
          <w:sz w:val="28"/>
          <w:szCs w:val="28"/>
        </w:rPr>
        <w:t>Вылково</w:t>
      </w:r>
      <w:proofErr w:type="spellEnd"/>
      <w:r w:rsidRPr="00C4367F">
        <w:rPr>
          <w:sz w:val="28"/>
          <w:szCs w:val="28"/>
        </w:rPr>
        <w:t>, Грязново и Королевка.</w:t>
      </w:r>
      <w:r w:rsidRPr="00C4367F">
        <w:rPr>
          <w:sz w:val="28"/>
          <w:szCs w:val="28"/>
          <w:lang w:val="en-US"/>
        </w:rPr>
        <w:t> </w:t>
      </w:r>
      <w:r w:rsidRPr="00C4367F">
        <w:rPr>
          <w:sz w:val="28"/>
          <w:szCs w:val="28"/>
        </w:rPr>
        <w:t xml:space="preserve">Общая сумма составила 3741,5 тыс. рублей из </w:t>
      </w:r>
      <w:proofErr w:type="spellStart"/>
      <w:r w:rsidRPr="00C4367F">
        <w:rPr>
          <w:sz w:val="28"/>
          <w:szCs w:val="28"/>
        </w:rPr>
        <w:t>них:Федеральный</w:t>
      </w:r>
      <w:proofErr w:type="spellEnd"/>
      <w:r w:rsidRPr="00C4367F">
        <w:rPr>
          <w:sz w:val="28"/>
          <w:szCs w:val="28"/>
        </w:rPr>
        <w:t xml:space="preserve"> бюджет -593,6 тыс. </w:t>
      </w:r>
      <w:proofErr w:type="spellStart"/>
      <w:r w:rsidRPr="00C4367F">
        <w:rPr>
          <w:sz w:val="28"/>
          <w:szCs w:val="28"/>
        </w:rPr>
        <w:t>рублей;Краевой</w:t>
      </w:r>
      <w:proofErr w:type="spellEnd"/>
      <w:r w:rsidRPr="00C4367F">
        <w:rPr>
          <w:sz w:val="28"/>
          <w:szCs w:val="28"/>
        </w:rPr>
        <w:t xml:space="preserve"> бюджет- 618,3 тыс. </w:t>
      </w:r>
      <w:proofErr w:type="spellStart"/>
      <w:r w:rsidRPr="00C4367F">
        <w:rPr>
          <w:sz w:val="28"/>
          <w:szCs w:val="28"/>
        </w:rPr>
        <w:t>рублей;Местный</w:t>
      </w:r>
      <w:proofErr w:type="spellEnd"/>
      <w:r w:rsidRPr="00C4367F">
        <w:rPr>
          <w:sz w:val="28"/>
          <w:szCs w:val="28"/>
        </w:rPr>
        <w:t xml:space="preserve"> бюджет – 618,3 тыс. </w:t>
      </w:r>
      <w:proofErr w:type="spellStart"/>
      <w:r w:rsidRPr="00C4367F">
        <w:rPr>
          <w:sz w:val="28"/>
          <w:szCs w:val="28"/>
        </w:rPr>
        <w:t>рублей</w:t>
      </w:r>
      <w:proofErr w:type="gramStart"/>
      <w:r w:rsidRPr="00C4367F">
        <w:rPr>
          <w:sz w:val="28"/>
          <w:szCs w:val="28"/>
        </w:rPr>
        <w:t>.С</w:t>
      </w:r>
      <w:proofErr w:type="gramEnd"/>
      <w:r w:rsidRPr="00C4367F">
        <w:rPr>
          <w:sz w:val="28"/>
          <w:szCs w:val="28"/>
        </w:rPr>
        <w:t>обственные</w:t>
      </w:r>
      <w:proofErr w:type="spellEnd"/>
      <w:r w:rsidRPr="00C4367F">
        <w:rPr>
          <w:sz w:val="28"/>
          <w:szCs w:val="28"/>
        </w:rPr>
        <w:t xml:space="preserve"> средства участников программы 1911,3 тыс. рублей.</w:t>
      </w:r>
      <w:r w:rsidRPr="00C4367F">
        <w:rPr>
          <w:sz w:val="28"/>
          <w:szCs w:val="28"/>
          <w:lang w:val="en-US"/>
        </w:rPr>
        <w:t> </w:t>
      </w:r>
    </w:p>
    <w:p w:rsidR="00DF68EA" w:rsidRDefault="001F1010" w:rsidP="00DF68EA">
      <w:pPr>
        <w:ind w:firstLine="709"/>
        <w:jc w:val="both"/>
        <w:divId w:val="1972859180"/>
        <w:rPr>
          <w:sz w:val="28"/>
          <w:szCs w:val="28"/>
        </w:rPr>
      </w:pPr>
      <w:r w:rsidRPr="00DF68EA">
        <w:rPr>
          <w:b/>
          <w:sz w:val="28"/>
          <w:szCs w:val="28"/>
        </w:rPr>
        <w:t>Спорт:</w:t>
      </w:r>
      <w:r w:rsidRPr="00C4367F">
        <w:rPr>
          <w:sz w:val="28"/>
          <w:szCs w:val="28"/>
        </w:rPr>
        <w:t xml:space="preserve"> Работу в области физической культуры и спорту выполняет отдел по спорту, он курирует и осуществляет ведомственный контроль за деятельностью районной спортивной школы (далее ДЮСШ) с охватом детей 175 человек и отделениями в с. Березовка, Королевка, Ключи, </w:t>
      </w:r>
      <w:proofErr w:type="spellStart"/>
      <w:r w:rsidRPr="00C4367F">
        <w:rPr>
          <w:sz w:val="28"/>
          <w:szCs w:val="28"/>
        </w:rPr>
        <w:t>Карповке</w:t>
      </w:r>
      <w:proofErr w:type="spellEnd"/>
      <w:r w:rsidRPr="00C4367F">
        <w:rPr>
          <w:sz w:val="28"/>
          <w:szCs w:val="28"/>
        </w:rPr>
        <w:t xml:space="preserve"> по 5 видам спорта: борьба, лыжные гонки, теннис, хоккей и </w:t>
      </w:r>
      <w:r w:rsidRPr="00C4367F">
        <w:rPr>
          <w:sz w:val="28"/>
          <w:szCs w:val="28"/>
        </w:rPr>
        <w:lastRenderedPageBreak/>
        <w:t xml:space="preserve">волейбол. </w:t>
      </w:r>
      <w:r w:rsidRPr="00C4367F">
        <w:rPr>
          <w:sz w:val="28"/>
          <w:szCs w:val="28"/>
          <w:lang w:val="en-US"/>
        </w:rPr>
        <w:t>  </w:t>
      </w:r>
      <w:r w:rsidRPr="00C4367F">
        <w:rPr>
          <w:sz w:val="28"/>
          <w:szCs w:val="28"/>
        </w:rPr>
        <w:t>Спортивно-массовая работа проводилась в соответствие с утверждённым календарным планом районных соревнований с учётом краевого плана спортивно-массовых соревнований, включая проведение школьных спартакиад, районных соревнований среди КФК, спартакиады пенсионеров и участию районных команд в краевых чемпионатах и Олимпиадах. Всего 30 районных и более 20 краевых мероприятий и соревнований.</w:t>
      </w:r>
      <w:r w:rsidRPr="00C4367F">
        <w:rPr>
          <w:sz w:val="28"/>
          <w:szCs w:val="28"/>
          <w:lang w:val="en-US"/>
        </w:rPr>
        <w:t>   </w:t>
      </w:r>
      <w:r w:rsidRPr="00C4367F">
        <w:rPr>
          <w:sz w:val="28"/>
          <w:szCs w:val="28"/>
        </w:rPr>
        <w:t xml:space="preserve"> </w:t>
      </w:r>
      <w:r w:rsidRPr="00C4367F">
        <w:rPr>
          <w:sz w:val="28"/>
          <w:szCs w:val="28"/>
          <w:lang w:val="en-US"/>
        </w:rPr>
        <w:t> </w:t>
      </w:r>
    </w:p>
    <w:p w:rsidR="00DF68EA" w:rsidRDefault="001F1010" w:rsidP="00DF68EA">
      <w:pPr>
        <w:ind w:firstLine="709"/>
        <w:jc w:val="both"/>
        <w:divId w:val="1972859180"/>
        <w:rPr>
          <w:sz w:val="28"/>
          <w:szCs w:val="28"/>
        </w:rPr>
      </w:pPr>
      <w:r w:rsidRPr="00C4367F">
        <w:rPr>
          <w:sz w:val="28"/>
          <w:szCs w:val="28"/>
          <w:lang w:val="en-US"/>
        </w:rPr>
        <w:t> </w:t>
      </w:r>
      <w:r w:rsidRPr="00C4367F">
        <w:rPr>
          <w:sz w:val="28"/>
          <w:szCs w:val="28"/>
        </w:rPr>
        <w:t xml:space="preserve">В районе сохранены и остаются на прежнем уровне число спортивных залов и плоскостных сооружений, в 14-ти поселениях района имеется 16 спортивных залов,1лыжная база, 2 стадиона, 7 футбольных полей, 2 хоккейные коробки, 1 тир, 3 </w:t>
      </w:r>
      <w:r w:rsidR="00DF68EA" w:rsidRPr="00C4367F">
        <w:rPr>
          <w:sz w:val="28"/>
          <w:szCs w:val="28"/>
        </w:rPr>
        <w:t>многофункциональные</w:t>
      </w:r>
      <w:r w:rsidRPr="00C4367F">
        <w:rPr>
          <w:sz w:val="28"/>
          <w:szCs w:val="28"/>
        </w:rPr>
        <w:t xml:space="preserve"> площадки, площадка для сдачи норм ГТО и 8 плоскостных сооружений (включая 2 площадки для пляжного волейбола). Действуют лыжные трассы «Лыжня здоровья» в селах Тюменцево и Берёзовка.</w:t>
      </w:r>
      <w:r w:rsidRPr="00C4367F">
        <w:rPr>
          <w:sz w:val="28"/>
          <w:szCs w:val="28"/>
          <w:lang w:val="en-US"/>
        </w:rPr>
        <w:t> </w:t>
      </w:r>
      <w:r w:rsidRPr="00C4367F">
        <w:rPr>
          <w:sz w:val="28"/>
          <w:szCs w:val="28"/>
        </w:rPr>
        <w:t xml:space="preserve"> Работу в спортивном направлении осуществляют 20 педагогов и тренеров.</w:t>
      </w:r>
      <w:r w:rsidRPr="00C4367F">
        <w:rPr>
          <w:sz w:val="28"/>
          <w:szCs w:val="28"/>
          <w:lang w:val="en-US"/>
        </w:rPr>
        <w:t> </w:t>
      </w:r>
      <w:r w:rsidRPr="00C4367F">
        <w:rPr>
          <w:sz w:val="28"/>
          <w:szCs w:val="28"/>
        </w:rPr>
        <w:t xml:space="preserve"> Потребность и уровень обеспеченности спортсооружениями соответствует 69,2 %.</w:t>
      </w:r>
      <w:r w:rsidRPr="00C4367F">
        <w:rPr>
          <w:sz w:val="28"/>
          <w:szCs w:val="28"/>
          <w:lang w:val="en-US"/>
        </w:rPr>
        <w:t>    </w:t>
      </w:r>
      <w:r w:rsidRPr="00C4367F">
        <w:rPr>
          <w:sz w:val="28"/>
          <w:szCs w:val="28"/>
        </w:rPr>
        <w:t xml:space="preserve"> </w:t>
      </w:r>
      <w:r w:rsidRPr="00C4367F">
        <w:rPr>
          <w:sz w:val="28"/>
          <w:szCs w:val="28"/>
          <w:lang w:val="en-US"/>
        </w:rPr>
        <w:t> </w:t>
      </w:r>
      <w:r w:rsidRPr="00C4367F">
        <w:rPr>
          <w:sz w:val="28"/>
          <w:szCs w:val="28"/>
        </w:rPr>
        <w:t xml:space="preserve"> </w:t>
      </w:r>
      <w:r w:rsidRPr="00C4367F">
        <w:rPr>
          <w:sz w:val="28"/>
          <w:szCs w:val="28"/>
          <w:lang w:val="en-US"/>
        </w:rPr>
        <w:t> </w:t>
      </w:r>
      <w:r w:rsidRPr="00C4367F">
        <w:rPr>
          <w:sz w:val="28"/>
          <w:szCs w:val="28"/>
        </w:rPr>
        <w:t xml:space="preserve"> В</w:t>
      </w:r>
      <w:r w:rsidRPr="00C4367F">
        <w:rPr>
          <w:sz w:val="28"/>
          <w:szCs w:val="28"/>
          <w:lang w:val="en-US"/>
        </w:rPr>
        <w:t> </w:t>
      </w:r>
      <w:r w:rsidRPr="00C4367F">
        <w:rPr>
          <w:sz w:val="28"/>
          <w:szCs w:val="28"/>
        </w:rPr>
        <w:t>2024 году в</w:t>
      </w:r>
      <w:r w:rsidRPr="00C4367F">
        <w:rPr>
          <w:sz w:val="28"/>
          <w:szCs w:val="28"/>
          <w:lang w:val="en-US"/>
        </w:rPr>
        <w:t> </w:t>
      </w:r>
      <w:r w:rsidRPr="00C4367F">
        <w:rPr>
          <w:sz w:val="28"/>
          <w:szCs w:val="28"/>
        </w:rPr>
        <w:t xml:space="preserve"> районе прошли масштабные краевые соревнования по авто-мототуризму «Кольцо победы 2024г.». Более 150 участников из Алтайского края, Кемеровской и Новосибирской области были размещены в детском оздоровительном лагере «Чайка» Дол Чайка, а 4 дня соревнований оставили положительные эмоции у жителей района. </w:t>
      </w:r>
      <w:r w:rsidRPr="00C4367F">
        <w:rPr>
          <w:sz w:val="28"/>
          <w:szCs w:val="28"/>
          <w:lang w:val="en-US"/>
        </w:rPr>
        <w:t>   </w:t>
      </w:r>
      <w:r w:rsidRPr="00C4367F">
        <w:rPr>
          <w:sz w:val="28"/>
          <w:szCs w:val="28"/>
        </w:rPr>
        <w:t xml:space="preserve"> </w:t>
      </w:r>
      <w:r w:rsidRPr="00C4367F">
        <w:rPr>
          <w:sz w:val="28"/>
          <w:szCs w:val="28"/>
          <w:lang w:val="en-US"/>
        </w:rPr>
        <w:t> </w:t>
      </w:r>
      <w:r w:rsidRPr="00C4367F">
        <w:rPr>
          <w:sz w:val="28"/>
          <w:szCs w:val="28"/>
        </w:rPr>
        <w:t xml:space="preserve"> </w:t>
      </w:r>
      <w:r w:rsidRPr="00C4367F">
        <w:rPr>
          <w:sz w:val="28"/>
          <w:szCs w:val="28"/>
          <w:lang w:val="en-US"/>
        </w:rPr>
        <w:t> </w:t>
      </w:r>
      <w:r w:rsidRPr="00C4367F">
        <w:rPr>
          <w:sz w:val="28"/>
          <w:szCs w:val="28"/>
        </w:rPr>
        <w:t xml:space="preserve"> </w:t>
      </w:r>
      <w:r w:rsidRPr="00C4367F">
        <w:rPr>
          <w:sz w:val="28"/>
          <w:szCs w:val="28"/>
          <w:lang w:val="en-US"/>
        </w:rPr>
        <w:t> </w:t>
      </w:r>
      <w:r w:rsidRPr="00C4367F">
        <w:rPr>
          <w:sz w:val="28"/>
          <w:szCs w:val="28"/>
        </w:rPr>
        <w:t xml:space="preserve"> </w:t>
      </w:r>
      <w:r w:rsidRPr="00C4367F">
        <w:rPr>
          <w:sz w:val="28"/>
          <w:szCs w:val="28"/>
          <w:lang w:val="en-US"/>
        </w:rPr>
        <w:t> </w:t>
      </w:r>
      <w:r w:rsidRPr="00C4367F">
        <w:rPr>
          <w:sz w:val="28"/>
          <w:szCs w:val="28"/>
        </w:rPr>
        <w:t xml:space="preserve"> </w:t>
      </w:r>
      <w:proofErr w:type="gramStart"/>
      <w:r w:rsidRPr="00C4367F">
        <w:rPr>
          <w:sz w:val="28"/>
          <w:szCs w:val="28"/>
        </w:rPr>
        <w:t>По итогам краевых Олимпиад район занял – в летней Олимпиаде 28 место, в зимней 29 место, участвуя в таких видах спорта как -</w:t>
      </w:r>
      <w:r w:rsidR="00DF68EA">
        <w:rPr>
          <w:sz w:val="28"/>
          <w:szCs w:val="28"/>
          <w:lang w:val="en-US"/>
        </w:rPr>
        <w:t>  </w:t>
      </w:r>
      <w:r w:rsidRPr="00C4367F">
        <w:rPr>
          <w:sz w:val="28"/>
          <w:szCs w:val="28"/>
        </w:rPr>
        <w:t>баскетбол, волейбол, полиатлон, гирев</w:t>
      </w:r>
      <w:r w:rsidR="00DF68EA">
        <w:rPr>
          <w:sz w:val="28"/>
          <w:szCs w:val="28"/>
        </w:rPr>
        <w:t>о</w:t>
      </w:r>
      <w:r w:rsidRPr="00C4367F">
        <w:rPr>
          <w:sz w:val="28"/>
          <w:szCs w:val="28"/>
        </w:rPr>
        <w:t>й спорт, легкая атлетика, в зимней Олимпиаде район был представлен рыбаками, которые заняли 2 место. (4 человека).</w:t>
      </w:r>
      <w:proofErr w:type="gramEnd"/>
    </w:p>
    <w:p w:rsidR="00DF68EA" w:rsidRDefault="001F1010" w:rsidP="00DF68EA">
      <w:pPr>
        <w:ind w:firstLine="709"/>
        <w:jc w:val="both"/>
        <w:divId w:val="1972859180"/>
        <w:rPr>
          <w:sz w:val="28"/>
          <w:szCs w:val="28"/>
        </w:rPr>
      </w:pPr>
      <w:r w:rsidRPr="00DF68EA">
        <w:rPr>
          <w:b/>
          <w:sz w:val="28"/>
          <w:szCs w:val="28"/>
        </w:rPr>
        <w:t>Здравоохранение</w:t>
      </w:r>
      <w:r w:rsidR="00DF68EA">
        <w:rPr>
          <w:sz w:val="28"/>
          <w:szCs w:val="28"/>
        </w:rPr>
        <w:t xml:space="preserve">: </w:t>
      </w:r>
      <w:r w:rsidRPr="00C4367F">
        <w:rPr>
          <w:sz w:val="28"/>
          <w:szCs w:val="28"/>
          <w:lang w:val="en-US"/>
        </w:rPr>
        <w:t> </w:t>
      </w:r>
      <w:r w:rsidRPr="00C4367F">
        <w:rPr>
          <w:sz w:val="28"/>
          <w:szCs w:val="28"/>
        </w:rPr>
        <w:t xml:space="preserve">Своевременную и профессиональную медицинскую помощь населению </w:t>
      </w:r>
      <w:proofErr w:type="spellStart"/>
      <w:r w:rsidRPr="00C4367F">
        <w:rPr>
          <w:sz w:val="28"/>
          <w:szCs w:val="28"/>
        </w:rPr>
        <w:t>Тюменцевского</w:t>
      </w:r>
      <w:proofErr w:type="spellEnd"/>
      <w:r w:rsidR="00DF68EA">
        <w:rPr>
          <w:sz w:val="28"/>
          <w:szCs w:val="28"/>
        </w:rPr>
        <w:t xml:space="preserve"> </w:t>
      </w:r>
      <w:r w:rsidRPr="00C4367F">
        <w:rPr>
          <w:sz w:val="28"/>
          <w:szCs w:val="28"/>
        </w:rPr>
        <w:t>района</w:t>
      </w:r>
      <w:r w:rsidRPr="00C4367F">
        <w:rPr>
          <w:sz w:val="28"/>
          <w:szCs w:val="28"/>
          <w:lang w:val="en-US"/>
        </w:rPr>
        <w:t> </w:t>
      </w:r>
      <w:r w:rsidRPr="00C4367F">
        <w:rPr>
          <w:sz w:val="28"/>
          <w:szCs w:val="28"/>
        </w:rPr>
        <w:t xml:space="preserve"> оказывают: Центральная районная больница на 51 круглосуточных коек</w:t>
      </w:r>
      <w:r w:rsidRPr="00C4367F">
        <w:rPr>
          <w:sz w:val="28"/>
          <w:szCs w:val="28"/>
          <w:lang w:val="en-US"/>
        </w:rPr>
        <w:t> </w:t>
      </w:r>
      <w:r w:rsidRPr="00C4367F">
        <w:rPr>
          <w:sz w:val="28"/>
          <w:szCs w:val="28"/>
        </w:rPr>
        <w:t xml:space="preserve"> и 24 коек дневного пребывания, поликлиника - 209 посещений в смену, Шарчинская сельская врачебная амбулатория, Вылковская участковая больница</w:t>
      </w:r>
      <w:r w:rsidRPr="00C4367F">
        <w:rPr>
          <w:sz w:val="28"/>
          <w:szCs w:val="28"/>
          <w:lang w:val="en-US"/>
        </w:rPr>
        <w:t> </w:t>
      </w:r>
      <w:r w:rsidRPr="00C4367F">
        <w:rPr>
          <w:sz w:val="28"/>
          <w:szCs w:val="28"/>
        </w:rPr>
        <w:t xml:space="preserve"> и 14 ФАП. В районе работает 19 врачей и 73 средних медицинских работников.</w:t>
      </w:r>
      <w:r w:rsidRPr="00C4367F">
        <w:rPr>
          <w:sz w:val="28"/>
          <w:szCs w:val="28"/>
          <w:lang w:val="en-US"/>
        </w:rPr>
        <w:t>        </w:t>
      </w:r>
      <w:r w:rsidRPr="00C4367F">
        <w:rPr>
          <w:sz w:val="28"/>
          <w:szCs w:val="28"/>
        </w:rPr>
        <w:t xml:space="preserve"> В настоящее время в Тюменцевской центральной районной больнице разработан комплекс</w:t>
      </w:r>
      <w:r w:rsidRPr="00C4367F">
        <w:rPr>
          <w:sz w:val="28"/>
          <w:szCs w:val="28"/>
          <w:lang w:val="en-US"/>
        </w:rPr>
        <w:t> </w:t>
      </w:r>
      <w:r w:rsidRPr="00C4367F">
        <w:rPr>
          <w:sz w:val="28"/>
          <w:szCs w:val="28"/>
        </w:rPr>
        <w:t xml:space="preserve"> мероприятий, направленных на снижение общей смертности населения, ранней выявляемости</w:t>
      </w:r>
      <w:r w:rsidRPr="00C4367F">
        <w:rPr>
          <w:sz w:val="28"/>
          <w:szCs w:val="28"/>
          <w:lang w:val="en-US"/>
        </w:rPr>
        <w:t> </w:t>
      </w:r>
      <w:r w:rsidRPr="00C4367F">
        <w:rPr>
          <w:sz w:val="28"/>
          <w:szCs w:val="28"/>
        </w:rPr>
        <w:t xml:space="preserve"> и профилактике заболеваемости.</w:t>
      </w:r>
      <w:r w:rsidRPr="00C4367F">
        <w:rPr>
          <w:sz w:val="28"/>
          <w:szCs w:val="28"/>
          <w:lang w:val="en-US"/>
        </w:rPr>
        <w:t> </w:t>
      </w:r>
      <w:r w:rsidRPr="00C4367F">
        <w:rPr>
          <w:sz w:val="28"/>
          <w:szCs w:val="28"/>
        </w:rPr>
        <w:t>Снижению общей смертности населения, выявляемости</w:t>
      </w:r>
      <w:r w:rsidRPr="00C4367F">
        <w:rPr>
          <w:sz w:val="28"/>
          <w:szCs w:val="28"/>
          <w:lang w:val="en-US"/>
        </w:rPr>
        <w:t> </w:t>
      </w:r>
      <w:r w:rsidRPr="00C4367F">
        <w:rPr>
          <w:sz w:val="28"/>
          <w:szCs w:val="28"/>
        </w:rPr>
        <w:t xml:space="preserve"> на ранних стадиях</w:t>
      </w:r>
      <w:r w:rsidRPr="00C4367F">
        <w:rPr>
          <w:sz w:val="28"/>
          <w:szCs w:val="28"/>
          <w:lang w:val="en-US"/>
        </w:rPr>
        <w:t> </w:t>
      </w:r>
      <w:r w:rsidRPr="00C4367F">
        <w:rPr>
          <w:sz w:val="28"/>
          <w:szCs w:val="28"/>
        </w:rPr>
        <w:t xml:space="preserve"> заболеваний способствовала профилактическая работа и диспансеризация взрослого населения, а так же наблюдение и ведение пациентов из высокой группы риска.</w:t>
      </w:r>
      <w:r w:rsidR="00183728" w:rsidRPr="00C4367F">
        <w:rPr>
          <w:sz w:val="28"/>
          <w:szCs w:val="28"/>
        </w:rPr>
        <w:t xml:space="preserve"> </w:t>
      </w:r>
      <w:r w:rsidRPr="00C4367F">
        <w:rPr>
          <w:sz w:val="28"/>
          <w:szCs w:val="28"/>
        </w:rPr>
        <w:t>При проведении профилактических медицинских осмотров и диспансеризации взрослого населения в 2024 году выявлено 12920 заболеваний.</w:t>
      </w:r>
      <w:r w:rsidR="00F00C74" w:rsidRPr="00C4367F">
        <w:rPr>
          <w:sz w:val="28"/>
          <w:szCs w:val="28"/>
        </w:rPr>
        <w:t xml:space="preserve"> </w:t>
      </w:r>
      <w:r w:rsidRPr="00C4367F">
        <w:rPr>
          <w:sz w:val="28"/>
          <w:szCs w:val="28"/>
        </w:rPr>
        <w:t>При флюорографических</w:t>
      </w:r>
      <w:r w:rsidRPr="00C4367F">
        <w:rPr>
          <w:sz w:val="28"/>
          <w:szCs w:val="28"/>
          <w:lang w:val="en-US"/>
        </w:rPr>
        <w:t> </w:t>
      </w:r>
      <w:r w:rsidRPr="00C4367F">
        <w:rPr>
          <w:sz w:val="28"/>
          <w:szCs w:val="28"/>
        </w:rPr>
        <w:t xml:space="preserve"> исследованиях населения</w:t>
      </w:r>
      <w:r w:rsidRPr="00C4367F">
        <w:rPr>
          <w:sz w:val="28"/>
          <w:szCs w:val="28"/>
          <w:lang w:val="en-US"/>
        </w:rPr>
        <w:t> </w:t>
      </w:r>
      <w:r w:rsidRPr="00C4367F">
        <w:rPr>
          <w:sz w:val="28"/>
          <w:szCs w:val="28"/>
        </w:rPr>
        <w:t xml:space="preserve"> в 2024 году впервые выявлено</w:t>
      </w:r>
      <w:r w:rsidRPr="00C4367F">
        <w:rPr>
          <w:sz w:val="28"/>
          <w:szCs w:val="28"/>
          <w:lang w:val="en-US"/>
        </w:rPr>
        <w:t> </w:t>
      </w:r>
      <w:r w:rsidRPr="00C4367F">
        <w:rPr>
          <w:sz w:val="28"/>
          <w:szCs w:val="28"/>
        </w:rPr>
        <w:t xml:space="preserve"> 73 больных патологией органов дыхания, в.т.ч. онкология легких и бронхов 12 человек. Передвижной</w:t>
      </w:r>
      <w:r w:rsidRPr="00C4367F">
        <w:rPr>
          <w:sz w:val="28"/>
          <w:szCs w:val="28"/>
          <w:lang w:val="en-US"/>
        </w:rPr>
        <w:t> </w:t>
      </w:r>
      <w:r w:rsidRPr="00C4367F">
        <w:rPr>
          <w:sz w:val="28"/>
          <w:szCs w:val="28"/>
        </w:rPr>
        <w:t xml:space="preserve"> маммографической</w:t>
      </w:r>
      <w:r w:rsidRPr="00C4367F">
        <w:rPr>
          <w:sz w:val="28"/>
          <w:szCs w:val="28"/>
          <w:lang w:val="en-US"/>
        </w:rPr>
        <w:t> </w:t>
      </w:r>
      <w:r w:rsidRPr="00C4367F">
        <w:rPr>
          <w:sz w:val="28"/>
          <w:szCs w:val="28"/>
        </w:rPr>
        <w:t xml:space="preserve"> установкой обследовано 700 человек. При проведении маммографии</w:t>
      </w:r>
      <w:r w:rsidRPr="00C4367F">
        <w:rPr>
          <w:sz w:val="28"/>
          <w:szCs w:val="28"/>
          <w:lang w:val="en-US"/>
        </w:rPr>
        <w:t> </w:t>
      </w:r>
      <w:r w:rsidRPr="00C4367F">
        <w:rPr>
          <w:sz w:val="28"/>
          <w:szCs w:val="28"/>
        </w:rPr>
        <w:t xml:space="preserve"> выявлено 117 человек с патологией, в т.ч. онкология молочной железы </w:t>
      </w:r>
      <w:r w:rsidRPr="00C4367F">
        <w:rPr>
          <w:sz w:val="28"/>
          <w:szCs w:val="28"/>
        </w:rPr>
        <w:lastRenderedPageBreak/>
        <w:t>17человек. При диспансеризации взрослого населения в 2024 году впервые выявлено 898 заболеваний, которые в 100% взяты на диспансерный учет.</w:t>
      </w:r>
      <w:r w:rsidR="00DF68EA">
        <w:rPr>
          <w:sz w:val="28"/>
          <w:szCs w:val="28"/>
        </w:rPr>
        <w:t xml:space="preserve"> </w:t>
      </w:r>
      <w:r w:rsidRPr="00C4367F">
        <w:rPr>
          <w:sz w:val="28"/>
          <w:szCs w:val="28"/>
        </w:rPr>
        <w:t>С 2021 года</w:t>
      </w:r>
      <w:r w:rsidRPr="00C4367F">
        <w:rPr>
          <w:sz w:val="28"/>
          <w:szCs w:val="28"/>
          <w:lang w:val="en-US"/>
        </w:rPr>
        <w:t> </w:t>
      </w:r>
      <w:r w:rsidRPr="00C4367F">
        <w:rPr>
          <w:sz w:val="28"/>
          <w:szCs w:val="28"/>
        </w:rPr>
        <w:t xml:space="preserve"> детская поликлиника работает в новом формате и на сегодняшний день имеются значительные положительные результаты работы, снизилась общая детская смертность.</w:t>
      </w:r>
      <w:r w:rsidR="00DF68EA">
        <w:rPr>
          <w:sz w:val="28"/>
          <w:szCs w:val="28"/>
        </w:rPr>
        <w:t xml:space="preserve"> </w:t>
      </w:r>
      <w:r w:rsidRPr="00C4367F">
        <w:rPr>
          <w:sz w:val="28"/>
          <w:szCs w:val="28"/>
        </w:rPr>
        <w:t>Разработан план мероприятий по реализации проекта</w:t>
      </w:r>
      <w:r w:rsidRPr="00C4367F">
        <w:rPr>
          <w:sz w:val="28"/>
          <w:szCs w:val="28"/>
          <w:lang w:val="en-US"/>
        </w:rPr>
        <w:t>  </w:t>
      </w:r>
      <w:r w:rsidRPr="00C4367F">
        <w:rPr>
          <w:sz w:val="28"/>
          <w:szCs w:val="28"/>
        </w:rPr>
        <w:t xml:space="preserve"> «Организационные решения по повышению доступности первичной медико-санитарной помощи детскому населению», введена талонная система посещений пациентов, имеется возможность записи на прием через госуслуги, регистратуру, официальный сайт КГБУЗ «</w:t>
      </w:r>
      <w:proofErr w:type="spellStart"/>
      <w:r w:rsidRPr="00C4367F">
        <w:rPr>
          <w:sz w:val="28"/>
          <w:szCs w:val="28"/>
        </w:rPr>
        <w:t>Тюменцевская</w:t>
      </w:r>
      <w:proofErr w:type="spellEnd"/>
      <w:r w:rsidRPr="00C4367F">
        <w:rPr>
          <w:sz w:val="28"/>
          <w:szCs w:val="28"/>
        </w:rPr>
        <w:t xml:space="preserve"> ЦРБ». Проводятся ежедневный мониторинг состояния детей до 1 года, ежегодные профилактические медицинские осмотры детей, позволяющие своевременно выявить ряд заболеваний</w:t>
      </w:r>
      <w:r w:rsidRPr="00C4367F">
        <w:rPr>
          <w:sz w:val="28"/>
          <w:szCs w:val="28"/>
          <w:lang w:val="en-US"/>
        </w:rPr>
        <w:t> </w:t>
      </w:r>
      <w:r w:rsidRPr="00C4367F">
        <w:rPr>
          <w:sz w:val="28"/>
          <w:szCs w:val="28"/>
        </w:rPr>
        <w:t xml:space="preserve"> на ранних стадиях </w:t>
      </w:r>
      <w:r w:rsidR="00DF68EA" w:rsidRPr="00C4367F">
        <w:rPr>
          <w:sz w:val="28"/>
          <w:szCs w:val="28"/>
        </w:rPr>
        <w:t xml:space="preserve">развития. </w:t>
      </w:r>
    </w:p>
    <w:p w:rsidR="0074511A" w:rsidRDefault="00DF68EA" w:rsidP="00DF68EA">
      <w:pPr>
        <w:ind w:firstLine="709"/>
        <w:jc w:val="both"/>
        <w:divId w:val="1972859180"/>
        <w:rPr>
          <w:sz w:val="28"/>
          <w:szCs w:val="28"/>
        </w:rPr>
      </w:pPr>
      <w:r w:rsidRPr="00C4367F">
        <w:rPr>
          <w:sz w:val="28"/>
          <w:szCs w:val="28"/>
        </w:rPr>
        <w:t>В</w:t>
      </w:r>
      <w:r w:rsidR="001F1010" w:rsidRPr="00C4367F">
        <w:rPr>
          <w:sz w:val="28"/>
          <w:szCs w:val="28"/>
        </w:rPr>
        <w:t xml:space="preserve"> 2024году профилактическими медицинскими осмотрами было охвачено</w:t>
      </w:r>
      <w:r w:rsidR="001F1010" w:rsidRPr="00C4367F">
        <w:rPr>
          <w:sz w:val="28"/>
          <w:szCs w:val="28"/>
          <w:lang w:val="en-US"/>
        </w:rPr>
        <w:t> </w:t>
      </w:r>
      <w:r w:rsidR="001F1010" w:rsidRPr="00C4367F">
        <w:rPr>
          <w:sz w:val="28"/>
          <w:szCs w:val="28"/>
        </w:rPr>
        <w:t xml:space="preserve"> 1847 детей. Выявлено 97 заболеваний,</w:t>
      </w:r>
      <w:r w:rsidR="001F1010" w:rsidRPr="00C4367F">
        <w:rPr>
          <w:sz w:val="28"/>
          <w:szCs w:val="28"/>
          <w:lang w:val="en-US"/>
        </w:rPr>
        <w:t> </w:t>
      </w:r>
      <w:r w:rsidR="001F1010" w:rsidRPr="00C4367F">
        <w:rPr>
          <w:sz w:val="28"/>
          <w:szCs w:val="28"/>
        </w:rPr>
        <w:t xml:space="preserve"> дети поставлены на диспансерный учет.</w:t>
      </w:r>
      <w:r w:rsidR="001F1010" w:rsidRPr="00C4367F">
        <w:rPr>
          <w:sz w:val="28"/>
          <w:szCs w:val="28"/>
          <w:lang w:val="en-US"/>
        </w:rPr>
        <w:t>       </w:t>
      </w:r>
      <w:r w:rsidR="001F1010" w:rsidRPr="00C4367F">
        <w:rPr>
          <w:sz w:val="28"/>
          <w:szCs w:val="28"/>
        </w:rPr>
        <w:t xml:space="preserve"> В целях улучшения профилактической работы с населением в рамках раннего и своевременного выявления патологии органов легочной системы в районной поликлинике</w:t>
      </w:r>
      <w:r w:rsidR="001F1010" w:rsidRPr="00C4367F">
        <w:rPr>
          <w:sz w:val="28"/>
          <w:szCs w:val="28"/>
          <w:lang w:val="en-US"/>
        </w:rPr>
        <w:t> </w:t>
      </w:r>
      <w:r w:rsidR="001F1010" w:rsidRPr="00C4367F">
        <w:rPr>
          <w:sz w:val="28"/>
          <w:szCs w:val="28"/>
        </w:rPr>
        <w:t xml:space="preserve"> проведён капитальный ремонт флюорографического кабинета с установкой нового цифрового оборудования.</w:t>
      </w:r>
    </w:p>
    <w:p w:rsidR="00DF68EA" w:rsidRDefault="00DF68EA" w:rsidP="00DF68EA">
      <w:pPr>
        <w:ind w:firstLine="709"/>
        <w:jc w:val="both"/>
        <w:divId w:val="1972859180"/>
        <w:rPr>
          <w:sz w:val="28"/>
          <w:szCs w:val="28"/>
        </w:rPr>
      </w:pPr>
    </w:p>
    <w:p w:rsidR="00DF68EA" w:rsidRPr="00C4367F" w:rsidRDefault="00DF68EA" w:rsidP="00DF68EA">
      <w:pPr>
        <w:ind w:firstLine="709"/>
        <w:jc w:val="both"/>
        <w:divId w:val="1972859180"/>
        <w:rPr>
          <w:sz w:val="28"/>
          <w:szCs w:val="28"/>
        </w:rPr>
      </w:pPr>
    </w:p>
    <w:tbl>
      <w:tblPr>
        <w:tblW w:w="0" w:type="auto"/>
        <w:jc w:val="right"/>
        <w:tblCellSpacing w:w="15" w:type="dxa"/>
        <w:tblInd w:w="-4773" w:type="dxa"/>
        <w:tblCellMar>
          <w:top w:w="15" w:type="dxa"/>
          <w:left w:w="15" w:type="dxa"/>
          <w:bottom w:w="15" w:type="dxa"/>
          <w:right w:w="15" w:type="dxa"/>
        </w:tblCellMar>
        <w:tblLook w:val="04A0"/>
      </w:tblPr>
      <w:tblGrid>
        <w:gridCol w:w="4819"/>
        <w:gridCol w:w="1972"/>
        <w:gridCol w:w="2608"/>
      </w:tblGrid>
      <w:tr w:rsidR="0074511A" w:rsidTr="00C4367F">
        <w:trPr>
          <w:divId w:val="1191646061"/>
          <w:tblCellSpacing w:w="15" w:type="dxa"/>
          <w:jc w:val="right"/>
        </w:trPr>
        <w:tc>
          <w:tcPr>
            <w:tcW w:w="4774" w:type="dxa"/>
            <w:vAlign w:val="center"/>
            <w:hideMark/>
          </w:tcPr>
          <w:p w:rsidR="0074511A" w:rsidRPr="00183728" w:rsidRDefault="0074511A" w:rsidP="00183728">
            <w:pPr>
              <w:spacing w:line="276" w:lineRule="auto"/>
              <w:rPr>
                <w:sz w:val="28"/>
                <w:szCs w:val="28"/>
              </w:rPr>
            </w:pPr>
            <w:r>
              <w:br/>
            </w:r>
            <w:proofErr w:type="spellStart"/>
            <w:r w:rsidR="001F1010">
              <w:rPr>
                <w:sz w:val="28"/>
                <w:szCs w:val="28"/>
                <w:lang w:val="en-US"/>
              </w:rPr>
              <w:t>Глава</w:t>
            </w:r>
            <w:proofErr w:type="spellEnd"/>
            <w:r w:rsidR="00183728">
              <w:rPr>
                <w:sz w:val="28"/>
                <w:szCs w:val="28"/>
              </w:rPr>
              <w:t xml:space="preserve"> района</w:t>
            </w:r>
          </w:p>
        </w:tc>
        <w:tc>
          <w:tcPr>
            <w:tcW w:w="1942" w:type="dxa"/>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Дитц Иван Иванович</w:t>
            </w:r>
          </w:p>
        </w:tc>
      </w:tr>
      <w:tr w:rsidR="0074511A" w:rsidTr="00C4367F">
        <w:trPr>
          <w:divId w:val="1191646061"/>
          <w:tblCellSpacing w:w="15" w:type="dxa"/>
          <w:jc w:val="right"/>
        </w:trPr>
        <w:tc>
          <w:tcPr>
            <w:tcW w:w="4774" w:type="dxa"/>
            <w:vAlign w:val="center"/>
            <w:hideMark/>
          </w:tcPr>
          <w:p w:rsidR="0074511A" w:rsidRDefault="0074511A">
            <w:r>
              <w:t> </w:t>
            </w:r>
          </w:p>
        </w:tc>
        <w:tc>
          <w:tcPr>
            <w:tcW w:w="1942" w:type="dxa"/>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3806"/>
      </w:tblGrid>
      <w:tr w:rsidR="0074511A" w:rsidTr="00183728">
        <w:trPr>
          <w:divId w:val="1537622445"/>
          <w:tblCellSpacing w:w="15" w:type="dxa"/>
        </w:trPr>
        <w:tc>
          <w:tcPr>
            <w:tcW w:w="5550" w:type="dxa"/>
            <w:vAlign w:val="center"/>
            <w:hideMark/>
          </w:tcPr>
          <w:p w:rsidR="0074511A" w:rsidRDefault="0074511A">
            <w:r>
              <w:t> </w:t>
            </w:r>
          </w:p>
        </w:tc>
        <w:tc>
          <w:tcPr>
            <w:tcW w:w="3761" w:type="dxa"/>
            <w:vAlign w:val="center"/>
            <w:hideMark/>
          </w:tcPr>
          <w:p w:rsidR="0074511A" w:rsidRDefault="0074511A"/>
        </w:tc>
      </w:tr>
    </w:tbl>
    <w:p w:rsidR="0074511A" w:rsidRDefault="0074511A">
      <w:pPr>
        <w:divId w:val="1537622445"/>
      </w:pPr>
    </w:p>
    <w:sectPr w:rsidR="0074511A" w:rsidSect="00D471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E2" w:rsidRDefault="002E4EE2" w:rsidP="00D47142">
      <w:r>
        <w:separator/>
      </w:r>
    </w:p>
  </w:endnote>
  <w:endnote w:type="continuationSeparator" w:id="0">
    <w:p w:rsidR="002E4EE2" w:rsidRDefault="002E4EE2"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F826F0" w:rsidP="00D47142">
    <w:pPr>
      <w:pStyle w:val="a6"/>
      <w:jc w:val="right"/>
    </w:pPr>
    <w:r>
      <w:fldChar w:fldCharType="begin"/>
    </w:r>
    <w:r w:rsidR="00D47142">
      <w:instrText xml:space="preserve"> PAGE  \* MERGEFORMAT </w:instrText>
    </w:r>
    <w:r>
      <w:fldChar w:fldCharType="separate"/>
    </w:r>
    <w:r w:rsidR="00DF68EA">
      <w:rPr>
        <w:noProof/>
      </w:rPr>
      <w:t>18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E2" w:rsidRDefault="002E4EE2" w:rsidP="00D47142">
      <w:r>
        <w:separator/>
      </w:r>
    </w:p>
  </w:footnote>
  <w:footnote w:type="continuationSeparator" w:id="0">
    <w:p w:rsidR="002E4EE2" w:rsidRDefault="002E4EE2"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4036A"/>
    <w:rsid w:val="0008114E"/>
    <w:rsid w:val="000B4703"/>
    <w:rsid w:val="000D3D3D"/>
    <w:rsid w:val="001127C6"/>
    <w:rsid w:val="0015389F"/>
    <w:rsid w:val="00173D0B"/>
    <w:rsid w:val="00174A2A"/>
    <w:rsid w:val="00183728"/>
    <w:rsid w:val="001F1010"/>
    <w:rsid w:val="00262161"/>
    <w:rsid w:val="002E4EE2"/>
    <w:rsid w:val="00467A05"/>
    <w:rsid w:val="004B40B9"/>
    <w:rsid w:val="005A1D93"/>
    <w:rsid w:val="006E331A"/>
    <w:rsid w:val="00705BA6"/>
    <w:rsid w:val="0074511A"/>
    <w:rsid w:val="008E0719"/>
    <w:rsid w:val="00954C8F"/>
    <w:rsid w:val="009B175B"/>
    <w:rsid w:val="00A257DB"/>
    <w:rsid w:val="00B37794"/>
    <w:rsid w:val="00C4367F"/>
    <w:rsid w:val="00C97D56"/>
    <w:rsid w:val="00D47142"/>
    <w:rsid w:val="00DF68EA"/>
    <w:rsid w:val="00F00C74"/>
    <w:rsid w:val="00F0653D"/>
    <w:rsid w:val="00F60B3D"/>
    <w:rsid w:val="00F82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F826F0"/>
    <w:pPr>
      <w:spacing w:before="100" w:beforeAutospacing="1" w:after="100" w:afterAutospacing="1"/>
    </w:pPr>
  </w:style>
  <w:style w:type="character" w:styleId="a3">
    <w:name w:val="Strong"/>
    <w:basedOn w:val="a0"/>
    <w:uiPriority w:val="22"/>
    <w:qFormat/>
    <w:rsid w:val="00F826F0"/>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8E688-F7DB-419A-8D5B-DDD627EB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7339</Words>
  <Characters>41837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49078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Predsedatel</cp:lastModifiedBy>
  <cp:revision>26</cp:revision>
  <dcterms:created xsi:type="dcterms:W3CDTF">2022-03-29T02:16:00Z</dcterms:created>
  <dcterms:modified xsi:type="dcterms:W3CDTF">2025-04-24T07:47:00Z</dcterms:modified>
</cp:coreProperties>
</file>