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исполнении поручений Президента Российской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Федерации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sz w:val="28"/>
        </w:rPr>
      </w:pPr>
      <w:r>
        <w:rPr>
          <w:sz w:val="28"/>
          <w:szCs w:val="28"/>
        </w:rPr>
        <w:t>Во исполнении подпунктов «в» и «г» п. 3 перечня поручений Президента Российской Федерации от 02.01.2016 года № Пр-15ГС .</w:t>
      </w:r>
    </w:p>
    <w:p>
      <w:pPr>
        <w:pStyle w:val="Normal"/>
        <w:spacing w:lineRule="auto" w:line="360"/>
        <w:ind w:firstLine="360"/>
        <w:jc w:val="both"/>
        <w:rPr/>
      </w:pPr>
      <w:r>
        <w:rPr>
          <w:sz w:val="28"/>
          <w:szCs w:val="28"/>
        </w:rPr>
        <w:t xml:space="preserve">В районе продолжается реализация мероприятий муниципальной программы </w:t>
      </w:r>
      <w:hyperlink r:id="rId2">
        <w:r>
          <w:rPr>
            <w:color w:val="141414" w:themeColor="text1"/>
            <w:sz w:val="28"/>
            <w:szCs w:val="28"/>
            <w:u w:val="none"/>
          </w:rPr>
          <w:t>«Раз</w:t>
          <w:softHyphen/>
          <w:t xml:space="preserve">витие образования </w:t>
        </w:r>
      </w:hyperlink>
      <w:r>
        <w:rPr>
          <w:color w:val="141414" w:themeColor="text1"/>
          <w:sz w:val="28"/>
          <w:szCs w:val="28"/>
        </w:rPr>
        <w:t xml:space="preserve">в Тюменцевском районе на 2015-2020 годы». </w:t>
      </w:r>
      <w:r>
        <w:rPr>
          <w:sz w:val="28"/>
          <w:szCs w:val="28"/>
        </w:rPr>
        <w:t>Она предусматривает механизмы, предоставление услуг по присмотру и уходу за детьми, получение доступного и качественного начального, общего и среднего образования на территории Тюменцевского района. Кроме того,программа предполагает создание дополнительных мест для детей дошко</w:t>
        <w:softHyphen/>
        <w:t>льного возраста в обра</w:t>
        <w:softHyphen/>
        <w:t>зовательных организациях, имеющих право на дошколь</w:t>
        <w:softHyphen/>
        <w:t>ное образование, присмотр и уход.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color w:val="141414" w:themeColor="text1"/>
          <w:sz w:val="28"/>
          <w:szCs w:val="28"/>
        </w:rPr>
        <w:t>Образовательная система Тюменцевского района представлена 1 дошкольным учреждением, 6 средними школами, 1 основной школой, 7 филиалами и учреждением дополнительного образования, которые обеспечивают доступность и качество современного дошкольного, общего и дополнительного образования. Юридических лиц – 9.</w:t>
      </w:r>
      <w:r>
        <w:rPr>
          <w:rFonts w:eastAsia="Microsoft Sans Serif"/>
          <w:sz w:val="28"/>
          <w:szCs w:val="28"/>
          <w:lang w:eastAsia="en-US"/>
        </w:rPr>
        <w:t xml:space="preserve"> В 2018, 2019 годах во всех общеобразовательных организациях созданы условия для питания всех детей. Из общей  численности обучающихся в ООУ (2018 г. – 1505 чел. , 2019 г. – 1493 чел.)возможность бесплатно питаться в общеобразовательных учреждениях не предоставлялась никому. 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Охват питанием в 2018, 2019 году составил 96,9% от общего количества школьников в районе.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 xml:space="preserve">Фактическая стоимость завтрака  в 2019 году составила 19,5 руб., что на 0,2 рубля больше чем в 2018 году. 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 xml:space="preserve">Фактическая стоимость обеда  в 2019 году составила  21,2 руб., что на 0,1 руб. больше чем в 2018 году. 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В районе 7 общеобразовательных учреждений - юр.лиц (в 2018 году - 8), в которых дети имели право на доставку школьными автобусами к месту обучения и обратно.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 xml:space="preserve">Численность детей, имеющих право на доставку школьными автобусами к месту обучения и обратно изменяется с каждым годом. В 2017 году было – 73, в 2019 году - 62 ученика. Это количество школьников фактически воспользовалось льготой по бесплатной перевозке школьными автобусами к месту обучения и обратно.  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В районе 6 общеобразовательных учреждений (юрлиц), в которых фактически осуществляется доставка детей к месту учебы и обратно.    12  автобусов в 2019 году (11 - в 2018 году) в районе, предназначенных для перевозки детей, соответствовали установленным требованиям (по оборудованию, износу и т.п.).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 xml:space="preserve">Парк школьных автобусов обновляется. В 2018 году приобретено за счет средств федерального бюджета 1 автобус, в 2019 г. – 2. Затраты на приобретение автобусов составили 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1,179 </w:t>
      </w:r>
      <w:r>
        <w:rPr>
          <w:rFonts w:eastAsia="Microsoft Sans Serif"/>
          <w:sz w:val="28"/>
          <w:szCs w:val="28"/>
          <w:lang w:eastAsia="en-US"/>
        </w:rPr>
        <w:t xml:space="preserve">млн. рублей в 2018 г. и </w:t>
      </w:r>
      <w:r>
        <w:rPr>
          <w:rFonts w:eastAsia="Arial Unicode MS"/>
          <w:color w:val="000000"/>
          <w:sz w:val="28"/>
          <w:szCs w:val="28"/>
          <w:lang w:eastAsia="en-US"/>
        </w:rPr>
        <w:t>2,39</w:t>
      </w:r>
      <w:r>
        <w:rPr>
          <w:rFonts w:eastAsia="Microsoft Sans Serif"/>
          <w:sz w:val="28"/>
          <w:szCs w:val="28"/>
          <w:lang w:eastAsia="en-US"/>
        </w:rPr>
        <w:t xml:space="preserve"> млн. рублей в 2019 г.</w:t>
      </w:r>
    </w:p>
    <w:p>
      <w:pPr>
        <w:pStyle w:val="Normal"/>
        <w:spacing w:lineRule="atLeast" w:line="240"/>
        <w:ind w:firstLine="709"/>
        <w:jc w:val="both"/>
        <w:rPr>
          <w:rFonts w:ascii="Microsoft Sans Serif" w:hAnsi="Microsoft Sans Serif" w:eastAsia="Microsoft Sans Serif" w:cs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Дополнительной потребности в автобусах (к уже имеющимся транспортным средствам) для полного обеспечения детей, нуждающихся к доставке к месту учебы и обратно, в районе в 2019 году нет.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Все общеобразовательные организации района (в 2018 г. – 8 юрлиц (1505 учеников), в 2019 г. – 7 юрлиц (1493 ученика) имеют все виды благоустройства: обеспечен воздушно- тепловой режим в полном соответствии с установленными требованиями, оборудованы водопроводом, водоотведением (канализацией), оборудованы в противопожарном отношении. 2  ООУ оборудованы системой видеонаблюдения. В 2018 году в них обучалось 264 ученика, в 2019 году – 257 учеников.</w:t>
      </w:r>
    </w:p>
    <w:p>
      <w:pPr>
        <w:pStyle w:val="Normal"/>
        <w:spacing w:lineRule="atLeast" w:line="240"/>
        <w:ind w:firstLine="709"/>
        <w:jc w:val="both"/>
        <w:rPr>
          <w:rFonts w:eastAsia="Microsoft Sans Serif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2 здания ООУ, в которых требуется проведение капитального ремонта (строительства). В них обучалось в 2018 г. 720 чел., в 2019 г. – 676 чел.</w:t>
      </w:r>
    </w:p>
    <w:p>
      <w:pPr>
        <w:pStyle w:val="Normal"/>
        <w:spacing w:lineRule="atLeast" w:line="240"/>
        <w:ind w:firstLine="709"/>
        <w:rPr>
          <w:color w:val="141414" w:themeColor="text1"/>
        </w:rPr>
      </w:pPr>
      <w:r>
        <w:rPr>
          <w:rFonts w:eastAsia="Microsoft Sans Serif"/>
          <w:sz w:val="28"/>
          <w:szCs w:val="28"/>
          <w:lang w:eastAsia="en-US"/>
        </w:rPr>
        <w:t>Численность детей с ОВЗ в школах в школах с каждым годом увеличивается: в 2018 г. – 129, в 2019 г. – 137. Очно обучаются 89 и 83 ученика соответственно. Все ООУ  посещают дети с ОВЗ. В 3 ООУ созданы условия для беспрепятственного доступа и перемещения детей с ОВЗ. Численность детей с ОВЗ. имеющих право на бесплатное питание, в 2018 г. было 129 чел., в 2019 г. - 99 чел., из них никто не питался бесплатно</w:t>
      </w:r>
    </w:p>
    <w:p>
      <w:pPr>
        <w:pStyle w:val="Normal"/>
        <w:spacing w:lineRule="atLeast" w:line="240"/>
        <w:rPr>
          <w:rFonts w:eastAsia="Microsoft Sans Serif"/>
        </w:rPr>
      </w:pPr>
      <w:r>
        <w:rPr>
          <w:rFonts w:eastAsia="Microsoft Sans Serif"/>
          <w:sz w:val="28"/>
          <w:szCs w:val="28"/>
        </w:rPr>
        <w:t>Общая обеспеченность детей всеми положенными учебниками и учебными пособиями составляет 97 %. Обеспеченность учебниками детей с ОВЗ составляет 88%.</w:t>
      </w:r>
    </w:p>
    <w:p>
      <w:pPr>
        <w:pStyle w:val="Normal"/>
        <w:spacing w:lineRule="atLeast" w:line="240"/>
        <w:rPr>
          <w:color w:val="141414" w:themeColor="text1"/>
        </w:rPr>
      </w:pPr>
      <w:r>
        <w:rPr>
          <w:color w:val="141414" w:themeColor="text1"/>
          <w:sz w:val="28"/>
          <w:szCs w:val="28"/>
        </w:rPr>
        <w:t>В настоя</w:t>
        <w:softHyphen/>
        <w:t>щее время в районе действуют 1 муниципальная дошкольная образователь</w:t>
        <w:softHyphen/>
        <w:t>ная ор</w:t>
        <w:softHyphen/>
        <w:t>га</w:t>
        <w:softHyphen/>
        <w:t>ни</w:t>
        <w:softHyphen/>
        <w:t>за</w:t>
        <w:softHyphen/>
        <w:t>ция, 5 филиалов, 6 структурных подразделения, рас</w:t>
        <w:softHyphen/>
        <w:t>положенных на базе 7 общеобразо</w:t>
        <w:softHyphen/>
        <w:t>вательных органи</w:t>
        <w:softHyphen/>
        <w:t>заций, имеющих право вести образовательную деятельность по программам дошкольного образования.</w:t>
      </w:r>
    </w:p>
    <w:p>
      <w:pPr>
        <w:pStyle w:val="Default"/>
        <w:numPr>
          <w:ilvl w:val="0"/>
          <w:numId w:val="1"/>
        </w:numPr>
        <w:spacing w:lineRule="atLeast" w:line="240"/>
        <w:ind w:firstLine="709"/>
        <w:jc w:val="both"/>
        <w:rPr>
          <w:color w:val="141414" w:themeColor="text1"/>
        </w:rPr>
      </w:pPr>
      <w:r>
        <w:rPr>
          <w:color w:val="141414" w:themeColor="text1"/>
          <w:sz w:val="28"/>
          <w:szCs w:val="28"/>
        </w:rPr>
        <w:t>Услугой дошко</w:t>
        <w:softHyphen/>
        <w:t>льного образования в государственном секторе обеспе</w:t>
        <w:softHyphen/>
        <w:t xml:space="preserve">чены </w:t>
      </w:r>
      <w:bookmarkStart w:id="0" w:name="_GoBack"/>
      <w:bookmarkEnd w:id="0"/>
      <w:r>
        <w:rPr>
          <w:b/>
          <w:color w:val="141414" w:themeColor="text1"/>
          <w:sz w:val="28"/>
          <w:szCs w:val="28"/>
        </w:rPr>
        <w:t>602</w:t>
      </w:r>
      <w:r>
        <w:rPr>
          <w:color w:val="141414" w:themeColor="text1"/>
          <w:sz w:val="28"/>
          <w:szCs w:val="28"/>
        </w:rPr>
        <w:t xml:space="preserve"> ребёнка в 2018 году и 505 детей – в 2019, из них: в 2018годувозрасте от 1,5 до 3 лет – 196, от 3 до 7 лет – 406, в 2019 возрасте от 1,5 до 3 лет – 135, от 3 до 7 лет – 370.</w:t>
      </w:r>
    </w:p>
    <w:p>
      <w:pPr>
        <w:pStyle w:val="Normal"/>
        <w:widowControl w:val="false"/>
        <w:numPr>
          <w:ilvl w:val="0"/>
          <w:numId w:val="1"/>
        </w:numPr>
        <w:spacing w:lineRule="atLeast" w:line="240"/>
        <w:ind w:firstLine="709"/>
        <w:jc w:val="both"/>
        <w:rPr>
          <w:bCs/>
          <w:iCs/>
          <w:color w:val="141414" w:themeColor="text1"/>
        </w:rPr>
      </w:pPr>
      <w:r>
        <w:rPr>
          <w:color w:val="141414" w:themeColor="text1"/>
          <w:sz w:val="28"/>
          <w:szCs w:val="28"/>
        </w:rPr>
        <w:t xml:space="preserve">Численность детей, охваченных услугой по присмотру и уходу за детьми дошкольного возраста в альтернативной форме в государственном секторе, от общей численности детей, охваченных услугой дошкольного образования в государственном секторе: 136 групп, в них детей – 796, в том числе в возрасте от 3 до 7 лет – 675 (0,6 %), от 1,5 до 3 лет – 121 (0,1 %). </w:t>
      </w:r>
    </w:p>
    <w:p>
      <w:pPr>
        <w:pStyle w:val="1"/>
        <w:widowControl w:val="false"/>
        <w:numPr>
          <w:ilvl w:val="0"/>
          <w:numId w:val="1"/>
        </w:numPr>
        <w:spacing w:lineRule="atLeast" w:line="240"/>
        <w:ind w:firstLine="709"/>
        <w:rPr>
          <w:color w:val="141414" w:themeColor="text1"/>
          <w:sz w:val="24"/>
          <w:szCs w:val="24"/>
        </w:rPr>
      </w:pPr>
      <w:r>
        <w:rPr>
          <w:color w:val="141414" w:themeColor="text1"/>
          <w:sz w:val="28"/>
          <w:szCs w:val="28"/>
        </w:rPr>
        <w:t>Кроме того, в муниципальных образовательных организациях функциони</w:t>
        <w:softHyphen/>
        <w:t>рует 12 (2018 г. – 12; 2019 г. – 12) кон</w:t>
        <w:softHyphen/>
        <w:t>сультационных центров по оказа</w:t>
        <w:softHyphen/>
        <w:t>нию методиче</w:t>
        <w:softHyphen/>
        <w:t>ской, психо</w:t>
        <w:softHyphen/>
        <w:t>лого-педагогиче</w:t>
        <w:softHyphen/>
        <w:t>ской помощи родите</w:t>
        <w:softHyphen/>
        <w:t>лям, воспитываю</w:t>
        <w:softHyphen/>
        <w:t>щим детей до</w:t>
        <w:softHyphen/>
        <w:t>школьного возраста, в том числе и для детей с ограниченными возможностями здоровья.</w:t>
      </w:r>
    </w:p>
    <w:p>
      <w:pPr>
        <w:pStyle w:val="Normal"/>
        <w:tabs>
          <w:tab w:val="clear" w:pos="708"/>
          <w:tab w:val="left" w:pos="-567" w:leader="none"/>
        </w:tabs>
        <w:spacing w:lineRule="atLeast" w:line="240"/>
        <w:ind w:firstLine="709"/>
        <w:jc w:val="both"/>
        <w:rPr>
          <w:color w:val="141414" w:themeColor="text1"/>
        </w:rPr>
      </w:pPr>
      <w:r>
        <w:rPr>
          <w:color w:val="141414" w:themeColor="text1"/>
          <w:sz w:val="28"/>
          <w:szCs w:val="28"/>
        </w:rPr>
        <w:t xml:space="preserve">Работа по исполнению данного поручения будет продолжена. </w:t>
      </w:r>
    </w:p>
    <w:p>
      <w:pPr>
        <w:pStyle w:val="Normal"/>
        <w:spacing w:lineRule="atLeast" w:line="240"/>
        <w:ind w:firstLine="709"/>
        <w:rPr>
          <w:color w:val="141414" w:themeColor="text1"/>
          <w:sz w:val="27"/>
          <w:szCs w:val="27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Sans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34d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6b34d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basedOn w:val="DefaultParagraphFont"/>
    <w:semiHidden/>
    <w:rsid w:val="006b34d2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uiPriority w:val="99"/>
    <w:semiHidden/>
    <w:unhideWhenUsed/>
    <w:rsid w:val="006b34d2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6b34d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" w:customStyle="1">
    <w:name w:val="Стиль1"/>
    <w:basedOn w:val="Style17"/>
    <w:qFormat/>
    <w:rsid w:val="006b34d2"/>
    <w:pPr>
      <w:spacing w:lineRule="auto" w:line="360" w:before="0" w:after="0"/>
      <w:ind w:firstLine="720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&#1055;&#1086;&#1089;&#1090;&#1072;&#1085;&#1086;&#1074;&#1083;&#1077;&#1085;&#1080;&#1077;%20&#1040;&#1076;&#1084;&#1080;&#1085;&#1080;&#1089;&#1090;&#1088;&#1072;&#1094;&#1080;&#1080;%20&#1040;&#1083;&#1090;&#1072;&#1081;&#1089;&#1082;&#1086;&#1075;&#1086;%20&#1082;&#1088;&#1072;&#1103;%20&#1086;&#1090;%2020.12.2013%20N%20670%20(&#1088;&#1077;&#1076;.%20&#1086;&#1090;%2004.07.2019)%20%22&#1054;&#1073;%20&#1091;&#1090;&#1074;&#1077;&#1088;&#1078;&#1076;&#1077;&#1085;&#1080;&#1080;%20&#1075;&#1086;&#1089;&#1091;&#1076;&#1072;&#1088;&#1089;&#1090;&#1074;&#1077;&#1085;&#1085;&#1086;&#1081;%20&#1087;&#1088;&#1086;&#1075;&#1088;&#1072;&#1084;&#1084;&#1099;%20&#1040;&#1083;&#1090;&#1072;&#1081;&#1089;&#1082;&#1086;&#1075;&#1086;%20&#1082;&#1088;&#1072;&#1103;%20%22&#1056;&#1072;&#1079;&#1074;&#1080;&#1090;&#1080;&#1077;%20&#1086;&#1073;&#1088;&#1072;&#1079;&#1086;&#1074;&#1072;&#1085;&#1080;&#1103;%20&#1080;%20&#1084;&#1086;&#1083;&#1086;&#1076;&#1077;&#1078;&#1085;&#1086;&#1081;%20&#1087;&#1086;&#1083;&#1080;&#1090;&#1080;&#1082;&#1080;%20&#1074;%20&#1040;&#1083;&#1090;&#1072;&#1081;&#1089;&#1082;&#1086;&#1084;%20&#1082;&#1088;&#1072;&#1077;%22%20%7B&#1050;&#1086;&#1085;&#1089;&#1091;&#1083;&#1100;&#1090;&#1072;&#1085;&#1090;&#1055;&#1083;&#1102;&#1089;%7D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LibreOffice/6.4.0.3$Windows_x86 LibreOffice_project/b0a288ab3d2d4774cb44b62f04d5d28733ac6df8</Application>
  <Pages>3</Pages>
  <Words>734</Words>
  <Characters>4393</Characters>
  <CharactersWithSpaces>5143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2020-03-02T04:15:00Z</dcterms:created>
  <dc:creator>Елена Ярмош</dc:creator>
  <dc:description/>
  <dc:language>ru-RU</dc:language>
  <cp:lastModifiedBy/>
  <dcterms:modified xsi:type="dcterms:W3CDTF">2020-03-02T11:21:33Z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